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C09A" w14:textId="292C2746" w:rsidR="00B24E0B" w:rsidRPr="00C954BE" w:rsidRDefault="00C954BE">
      <w:pPr>
        <w:rPr>
          <w:rFonts w:ascii="Calibri" w:hAnsi="Calibri" w:cs="Calibri"/>
        </w:rPr>
      </w:pPr>
      <w:r>
        <w:rPr>
          <w:rFonts w:ascii="Calibri" w:hAnsi="Calibri" w:cs="Calibri"/>
        </w:rPr>
        <w:br/>
      </w:r>
      <w:r w:rsidR="00DF6DEC" w:rsidRPr="00C954BE">
        <w:rPr>
          <w:rFonts w:ascii="Calibri" w:hAnsi="Calibri" w:cs="Calibri"/>
        </w:rPr>
        <w:t xml:space="preserve">On November 14, </w:t>
      </w:r>
      <w:r w:rsidR="00511A38" w:rsidRPr="00C954BE">
        <w:rPr>
          <w:rFonts w:ascii="Calibri" w:hAnsi="Calibri" w:cs="Calibri"/>
        </w:rPr>
        <w:t>Dr. Sarah Abshier, OHFAMA’s PIAC representative, and Dr. Andy Bhatia, OHFAMA’s CAC representative</w:t>
      </w:r>
      <w:r w:rsidR="00DF6DEC" w:rsidRPr="00C954BE">
        <w:rPr>
          <w:rFonts w:ascii="Calibri" w:hAnsi="Calibri" w:cs="Calibri"/>
        </w:rPr>
        <w:t xml:space="preserve"> attended APMA’s 25th Annual Joint National CAC-PIAC Meeting, held virtually due to the extended federal government shutdown. More than 60 CAC and PIAC representatives, state component leaders, subject matter experts, and APMA staff participated. Despite the shift from in-person to online, the meeting underscored the essential role that CAC and PIAC representatives play in protecting patient access, preserving the profession’s voice in Medicare and private insurance policy, and navigating an increasingly complex reimbursement landscape.</w:t>
      </w:r>
    </w:p>
    <w:p w14:paraId="125E22F7" w14:textId="12471C5B" w:rsidR="004736BE" w:rsidRPr="00C954BE" w:rsidRDefault="00DF6DEC">
      <w:pPr>
        <w:rPr>
          <w:rFonts w:ascii="Calibri" w:hAnsi="Calibri" w:cs="Calibri"/>
        </w:rPr>
      </w:pPr>
      <w:r w:rsidRPr="00C954BE">
        <w:rPr>
          <w:rFonts w:ascii="Calibri" w:hAnsi="Calibri" w:cs="Calibri"/>
        </w:rPr>
        <w:t xml:space="preserve">This year’s meeting focused heavily on major federal policy changes for 2026, skin substitute compliance and audit readiness, Medicare Advantage (MA) trends, private insurance challenges, and practical strategies for effective engagement with </w:t>
      </w:r>
      <w:r w:rsidR="006D15AD" w:rsidRPr="00C954BE">
        <w:rPr>
          <w:rFonts w:ascii="Calibri" w:hAnsi="Calibri" w:cs="Calibri"/>
        </w:rPr>
        <w:t>Medicare Administrative Contractors (</w:t>
      </w:r>
      <w:r w:rsidRPr="00C954BE">
        <w:rPr>
          <w:rFonts w:ascii="Calibri" w:hAnsi="Calibri" w:cs="Calibri"/>
        </w:rPr>
        <w:t>MACs</w:t>
      </w:r>
      <w:r w:rsidR="006D15AD" w:rsidRPr="00C954BE">
        <w:rPr>
          <w:rFonts w:ascii="Calibri" w:hAnsi="Calibri" w:cs="Calibri"/>
        </w:rPr>
        <w:t>)</w:t>
      </w:r>
      <w:r w:rsidR="00364088" w:rsidRPr="00C954BE">
        <w:rPr>
          <w:rFonts w:ascii="Calibri" w:hAnsi="Calibri" w:cs="Calibri"/>
        </w:rPr>
        <w:t xml:space="preserve">, </w:t>
      </w:r>
      <w:r w:rsidRPr="00C954BE">
        <w:rPr>
          <w:rFonts w:ascii="Calibri" w:hAnsi="Calibri" w:cs="Calibri"/>
        </w:rPr>
        <w:t>medical directors</w:t>
      </w:r>
      <w:r w:rsidR="00364088" w:rsidRPr="00C954BE">
        <w:rPr>
          <w:rFonts w:ascii="Calibri" w:hAnsi="Calibri" w:cs="Calibri"/>
        </w:rPr>
        <w:t>, and private insurers</w:t>
      </w:r>
      <w:r w:rsidRPr="00C954BE">
        <w:rPr>
          <w:rFonts w:ascii="Calibri" w:hAnsi="Calibri" w:cs="Calibri"/>
        </w:rPr>
        <w:t xml:space="preserve">. </w:t>
      </w:r>
      <w:r w:rsidRPr="00C954BE">
        <w:rPr>
          <w:rFonts w:ascii="Calibri" w:hAnsi="Calibri" w:cs="Calibri"/>
          <w:b/>
          <w:bCs/>
        </w:rPr>
        <w:t xml:space="preserve">Below are key updates and takeaways </w:t>
      </w:r>
      <w:r w:rsidR="00511A38" w:rsidRPr="00C954BE">
        <w:rPr>
          <w:rFonts w:ascii="Calibri" w:hAnsi="Calibri" w:cs="Calibri"/>
          <w:b/>
          <w:bCs/>
        </w:rPr>
        <w:t>from the meeting.</w:t>
      </w:r>
    </w:p>
    <w:p w14:paraId="30E2E446" w14:textId="3C12F590" w:rsidR="005916C3" w:rsidRPr="00C954BE" w:rsidRDefault="005916C3">
      <w:pPr>
        <w:rPr>
          <w:rFonts w:ascii="Calibri" w:hAnsi="Calibri" w:cs="Calibri"/>
        </w:rPr>
      </w:pPr>
      <w:r w:rsidRPr="00C954BE">
        <w:rPr>
          <w:rFonts w:ascii="Calibri" w:hAnsi="Calibri" w:cs="Calibri"/>
        </w:rPr>
        <w:t xml:space="preserve">The agenda and other materials are available at: </w:t>
      </w:r>
      <w:hyperlink r:id="rId8" w:history="1">
        <w:r w:rsidR="00150EE5" w:rsidRPr="00C954BE">
          <w:rPr>
            <w:rStyle w:val="Hyperlink"/>
            <w:rFonts w:ascii="Calibri" w:hAnsi="Calibri" w:cs="Calibri"/>
            <w:i/>
            <w:iCs/>
          </w:rPr>
          <w:t>www.apma.org/CACPIAC2025</w:t>
        </w:r>
      </w:hyperlink>
      <w:r w:rsidR="00150EE5" w:rsidRPr="00C954BE">
        <w:rPr>
          <w:rFonts w:ascii="Calibri" w:hAnsi="Calibri" w:cs="Calibri"/>
        </w:rPr>
        <w:t xml:space="preserve"> </w:t>
      </w:r>
    </w:p>
    <w:p w14:paraId="58F90F5B" w14:textId="665104C1" w:rsidR="00371C6B" w:rsidRPr="00C954BE" w:rsidRDefault="005A4979" w:rsidP="004736BE">
      <w:pPr>
        <w:pStyle w:val="ListParagraph"/>
        <w:numPr>
          <w:ilvl w:val="0"/>
          <w:numId w:val="9"/>
        </w:numPr>
        <w:rPr>
          <w:rFonts w:ascii="Calibri" w:hAnsi="Calibri" w:cs="Calibri"/>
          <w:b/>
          <w:bCs/>
        </w:rPr>
      </w:pPr>
      <w:r w:rsidRPr="00C954BE">
        <w:rPr>
          <w:rFonts w:ascii="Calibri" w:hAnsi="Calibri" w:cs="Calibri"/>
          <w:b/>
          <w:bCs/>
        </w:rPr>
        <w:t>APMA’s Strategic Direction: Unifying Policy, Advocacy, and Workforce Priorities</w:t>
      </w:r>
    </w:p>
    <w:p w14:paraId="521FE9CA" w14:textId="5EC270CB" w:rsidR="005A4979" w:rsidRPr="00C954BE" w:rsidRDefault="005A4979" w:rsidP="004736BE">
      <w:pPr>
        <w:pStyle w:val="ListParagraph"/>
        <w:ind w:left="360"/>
        <w:rPr>
          <w:rFonts w:ascii="Calibri" w:hAnsi="Calibri" w:cs="Calibri"/>
        </w:rPr>
      </w:pPr>
      <w:r w:rsidRPr="00C954BE">
        <w:rPr>
          <w:rFonts w:ascii="Calibri" w:hAnsi="Calibri" w:cs="Calibri"/>
        </w:rPr>
        <w:t xml:space="preserve">APMA’s President Dr. Brooke Bisbee </w:t>
      </w:r>
      <w:r w:rsidR="00A10660" w:rsidRPr="00C954BE">
        <w:rPr>
          <w:rFonts w:ascii="Calibri" w:hAnsi="Calibri" w:cs="Calibri"/>
        </w:rPr>
        <w:t>provided</w:t>
      </w:r>
      <w:r w:rsidRPr="00C954BE">
        <w:rPr>
          <w:rFonts w:ascii="Calibri" w:hAnsi="Calibri" w:cs="Calibri"/>
        </w:rPr>
        <w:t xml:space="preserve"> an overview of APMA’s current strategic priorities, emphasizing:</w:t>
      </w:r>
    </w:p>
    <w:p w14:paraId="275CC916" w14:textId="77777777" w:rsidR="006E31FB" w:rsidRPr="00C954BE" w:rsidRDefault="005A4979" w:rsidP="006E31FB">
      <w:pPr>
        <w:pStyle w:val="ListParagraph"/>
        <w:numPr>
          <w:ilvl w:val="0"/>
          <w:numId w:val="7"/>
        </w:numPr>
        <w:rPr>
          <w:rFonts w:ascii="Calibri" w:hAnsi="Calibri" w:cs="Calibri"/>
        </w:rPr>
      </w:pPr>
      <w:r w:rsidRPr="00C954BE">
        <w:rPr>
          <w:rFonts w:ascii="Calibri" w:hAnsi="Calibri" w:cs="Calibri"/>
        </w:rPr>
        <w:t xml:space="preserve">A sharpened advocacy agenda focused on fair reimbursement, scope modernization, workforce sustainability, and public promotion of </w:t>
      </w:r>
      <w:r w:rsidR="00691DED" w:rsidRPr="00C954BE">
        <w:rPr>
          <w:rFonts w:ascii="Calibri" w:hAnsi="Calibri" w:cs="Calibri"/>
        </w:rPr>
        <w:t xml:space="preserve">podiatry </w:t>
      </w:r>
    </w:p>
    <w:p w14:paraId="3F5E411F" w14:textId="77777777" w:rsidR="006E31FB" w:rsidRPr="00C954BE" w:rsidRDefault="00691DED" w:rsidP="006E31FB">
      <w:pPr>
        <w:pStyle w:val="ListParagraph"/>
        <w:numPr>
          <w:ilvl w:val="0"/>
          <w:numId w:val="7"/>
        </w:numPr>
        <w:rPr>
          <w:rFonts w:ascii="Calibri" w:hAnsi="Calibri" w:cs="Calibri"/>
        </w:rPr>
      </w:pPr>
      <w:r w:rsidRPr="00C954BE">
        <w:rPr>
          <w:rFonts w:ascii="Calibri" w:hAnsi="Calibri" w:cs="Calibri"/>
        </w:rPr>
        <w:t>APMA’s investment in branding the profession and strengthening membership engagement</w:t>
      </w:r>
    </w:p>
    <w:p w14:paraId="673624E2" w14:textId="1160886C" w:rsidR="00E977FE" w:rsidRPr="00C954BE" w:rsidRDefault="00691DED" w:rsidP="006E31FB">
      <w:pPr>
        <w:pStyle w:val="ListParagraph"/>
        <w:numPr>
          <w:ilvl w:val="0"/>
          <w:numId w:val="7"/>
        </w:numPr>
        <w:rPr>
          <w:rFonts w:ascii="Calibri" w:hAnsi="Calibri" w:cs="Calibri"/>
        </w:rPr>
      </w:pPr>
      <w:r w:rsidRPr="00C954BE">
        <w:rPr>
          <w:rFonts w:ascii="Calibri" w:hAnsi="Calibri" w:cs="Calibri"/>
        </w:rPr>
        <w:t>Work underway to expand research capacity, enhance education, and support advocacy through clearer data and coordinated messaging</w:t>
      </w:r>
    </w:p>
    <w:p w14:paraId="491C656A" w14:textId="1FB2D36E" w:rsidR="00E977FE" w:rsidRPr="00C954BE" w:rsidRDefault="00691DED" w:rsidP="002A03B2">
      <w:pPr>
        <w:ind w:left="360"/>
        <w:rPr>
          <w:rFonts w:ascii="Calibri" w:hAnsi="Calibri" w:cs="Calibri"/>
        </w:rPr>
      </w:pPr>
      <w:r w:rsidRPr="00C954BE">
        <w:rPr>
          <w:rFonts w:ascii="Calibri" w:hAnsi="Calibri" w:cs="Calibri"/>
        </w:rPr>
        <w:t>Her remarks underscored the essential role CAC and PIAC representatives play as APMA’s “front line” in ensuring podiatry’s voice is represented in payer policy and medical director decisions.</w:t>
      </w:r>
    </w:p>
    <w:p w14:paraId="7EE676EC" w14:textId="77777777" w:rsidR="00630912" w:rsidRPr="00C954BE" w:rsidRDefault="002A03B2" w:rsidP="00630912">
      <w:pPr>
        <w:pStyle w:val="ListParagraph"/>
        <w:numPr>
          <w:ilvl w:val="0"/>
          <w:numId w:val="9"/>
        </w:numPr>
        <w:rPr>
          <w:rFonts w:ascii="Calibri" w:hAnsi="Calibri" w:cs="Calibri"/>
          <w:b/>
          <w:bCs/>
        </w:rPr>
      </w:pPr>
      <w:r w:rsidRPr="00C954BE">
        <w:rPr>
          <w:rFonts w:ascii="Calibri" w:hAnsi="Calibri" w:cs="Calibri"/>
          <w:b/>
          <w:bCs/>
        </w:rPr>
        <w:t>Preparing for 2026: Major Medicare Policy Changes</w:t>
      </w:r>
    </w:p>
    <w:p w14:paraId="244445CC" w14:textId="34443147" w:rsidR="002A03B2" w:rsidRPr="00C954BE" w:rsidRDefault="0027701E" w:rsidP="00630912">
      <w:pPr>
        <w:pStyle w:val="ListParagraph"/>
        <w:ind w:left="360"/>
        <w:rPr>
          <w:rFonts w:ascii="Calibri" w:hAnsi="Calibri" w:cs="Calibri"/>
          <w:b/>
          <w:bCs/>
        </w:rPr>
      </w:pPr>
      <w:r w:rsidRPr="00C954BE">
        <w:rPr>
          <w:rFonts w:ascii="Calibri" w:hAnsi="Calibri" w:cs="Calibri"/>
        </w:rPr>
        <w:t>Cindy Moon, MPH, MPP, presented a comprehensive analysis of the 2026 Medicare Physician Fee Schedule</w:t>
      </w:r>
      <w:r w:rsidR="007F7ABD" w:rsidRPr="00C954BE">
        <w:rPr>
          <w:rFonts w:ascii="Calibri" w:hAnsi="Calibri" w:cs="Calibri"/>
        </w:rPr>
        <w:t xml:space="preserve"> (</w:t>
      </w:r>
      <w:r w:rsidR="00536984" w:rsidRPr="00C954BE">
        <w:rPr>
          <w:rFonts w:ascii="Calibri" w:hAnsi="Calibri" w:cs="Calibri"/>
        </w:rPr>
        <w:t>M</w:t>
      </w:r>
      <w:r w:rsidR="007F7ABD" w:rsidRPr="00C954BE">
        <w:rPr>
          <w:rFonts w:ascii="Calibri" w:hAnsi="Calibri" w:cs="Calibri"/>
        </w:rPr>
        <w:t>PFS)</w:t>
      </w:r>
      <w:r w:rsidRPr="00C954BE">
        <w:rPr>
          <w:rFonts w:ascii="Calibri" w:hAnsi="Calibri" w:cs="Calibri"/>
        </w:rPr>
        <w:t xml:space="preserve"> and related </w:t>
      </w:r>
      <w:r w:rsidR="00C06509" w:rsidRPr="00C954BE">
        <w:rPr>
          <w:rFonts w:ascii="Calibri" w:hAnsi="Calibri" w:cs="Calibri"/>
        </w:rPr>
        <w:t>Centers for Medicare and Medicaid (</w:t>
      </w:r>
      <w:r w:rsidRPr="00C954BE">
        <w:rPr>
          <w:rFonts w:ascii="Calibri" w:hAnsi="Calibri" w:cs="Calibri"/>
        </w:rPr>
        <w:t>CMS</w:t>
      </w:r>
      <w:r w:rsidR="00C06509" w:rsidRPr="00C954BE">
        <w:rPr>
          <w:rFonts w:ascii="Calibri" w:hAnsi="Calibri" w:cs="Calibri"/>
        </w:rPr>
        <w:t>)</w:t>
      </w:r>
      <w:r w:rsidRPr="00C954BE">
        <w:rPr>
          <w:rFonts w:ascii="Calibri" w:hAnsi="Calibri" w:cs="Calibri"/>
        </w:rPr>
        <w:t xml:space="preserve"> updates. Key points included:</w:t>
      </w:r>
    </w:p>
    <w:p w14:paraId="08AB2DB9" w14:textId="71882F8C" w:rsidR="0027701E" w:rsidRPr="00C954BE" w:rsidRDefault="0027701E" w:rsidP="002A03B2">
      <w:pPr>
        <w:ind w:left="360"/>
        <w:rPr>
          <w:rFonts w:ascii="Calibri" w:hAnsi="Calibri" w:cs="Calibri"/>
          <w:i/>
          <w:iCs/>
        </w:rPr>
      </w:pPr>
      <w:r w:rsidRPr="00C954BE">
        <w:rPr>
          <w:rFonts w:ascii="Calibri" w:hAnsi="Calibri" w:cs="Calibri"/>
          <w:i/>
          <w:iCs/>
        </w:rPr>
        <w:t>Physician Fee Schedule Updates</w:t>
      </w:r>
    </w:p>
    <w:p w14:paraId="4085D65B" w14:textId="652557ED" w:rsidR="0027701E" w:rsidRPr="00C954BE" w:rsidRDefault="00F84C3F" w:rsidP="009F5132">
      <w:pPr>
        <w:pStyle w:val="ListParagraph"/>
        <w:numPr>
          <w:ilvl w:val="0"/>
          <w:numId w:val="7"/>
        </w:numPr>
        <w:rPr>
          <w:rFonts w:ascii="Calibri" w:hAnsi="Calibri" w:cs="Calibri"/>
        </w:rPr>
      </w:pPr>
      <w:r w:rsidRPr="00C954BE">
        <w:rPr>
          <w:rFonts w:ascii="Calibri" w:hAnsi="Calibri" w:cs="Calibri"/>
        </w:rPr>
        <w:t xml:space="preserve">CMS finalized two conversion factors for 2026; impacts vary based on </w:t>
      </w:r>
      <w:r w:rsidR="001C7495" w:rsidRPr="00C954BE">
        <w:rPr>
          <w:rFonts w:ascii="Calibri" w:hAnsi="Calibri" w:cs="Calibri"/>
        </w:rPr>
        <w:t>qualifying alternative payment</w:t>
      </w:r>
      <w:r w:rsidR="000D4569" w:rsidRPr="00C954BE">
        <w:rPr>
          <w:rFonts w:ascii="Calibri" w:hAnsi="Calibri" w:cs="Calibri"/>
        </w:rPr>
        <w:t xml:space="preserve"> (APM)</w:t>
      </w:r>
      <w:r w:rsidR="001C7495" w:rsidRPr="00C954BE">
        <w:rPr>
          <w:rFonts w:ascii="Calibri" w:hAnsi="Calibri" w:cs="Calibri"/>
        </w:rPr>
        <w:t xml:space="preserve"> model participant (QP) status</w:t>
      </w:r>
      <w:r w:rsidR="007F7ABD" w:rsidRPr="00C954BE">
        <w:rPr>
          <w:rFonts w:ascii="Calibri" w:hAnsi="Calibri" w:cs="Calibri"/>
        </w:rPr>
        <w:t>. The overall CMS PFS</w:t>
      </w:r>
      <w:r w:rsidR="00AB1026" w:rsidRPr="00C954BE">
        <w:rPr>
          <w:rFonts w:ascii="Calibri" w:hAnsi="Calibri" w:cs="Calibri"/>
        </w:rPr>
        <w:t xml:space="preserve"> net</w:t>
      </w:r>
      <w:r w:rsidR="007F7ABD" w:rsidRPr="00C954BE">
        <w:rPr>
          <w:rFonts w:ascii="Calibri" w:hAnsi="Calibri" w:cs="Calibri"/>
        </w:rPr>
        <w:t xml:space="preserve"> impact </w:t>
      </w:r>
      <w:r w:rsidR="0BDF67AA" w:rsidRPr="00C954BE">
        <w:rPr>
          <w:rFonts w:ascii="Calibri" w:hAnsi="Calibri" w:cs="Calibri"/>
        </w:rPr>
        <w:t xml:space="preserve">(after accounting for MACRA and </w:t>
      </w:r>
      <w:r w:rsidR="3B3D56D6" w:rsidRPr="00C954BE">
        <w:rPr>
          <w:rFonts w:ascii="Calibri" w:hAnsi="Calibri" w:cs="Calibri"/>
        </w:rPr>
        <w:t>the One Big Beautiful Bill Act</w:t>
      </w:r>
      <w:r w:rsidR="0BDF67AA" w:rsidRPr="00C954BE">
        <w:rPr>
          <w:rFonts w:ascii="Calibri" w:hAnsi="Calibri" w:cs="Calibri"/>
        </w:rPr>
        <w:t>)</w:t>
      </w:r>
      <w:r w:rsidR="007F7ABD" w:rsidRPr="00C954BE">
        <w:rPr>
          <w:rFonts w:ascii="Calibri" w:hAnsi="Calibri" w:cs="Calibri"/>
        </w:rPr>
        <w:t xml:space="preserve"> on podiatrists for 2026 is estimated to be </w:t>
      </w:r>
      <w:r w:rsidR="42D6802E" w:rsidRPr="00C954BE">
        <w:rPr>
          <w:rFonts w:ascii="Calibri" w:hAnsi="Calibri" w:cs="Calibri"/>
        </w:rPr>
        <w:t>around</w:t>
      </w:r>
      <w:r w:rsidR="007F7ABD" w:rsidRPr="00C954BE">
        <w:rPr>
          <w:rFonts w:ascii="Calibri" w:hAnsi="Calibri" w:cs="Calibri"/>
        </w:rPr>
        <w:t xml:space="preserve"> +</w:t>
      </w:r>
      <w:r w:rsidR="1647F56F" w:rsidRPr="00C954BE">
        <w:rPr>
          <w:rFonts w:ascii="Calibri" w:hAnsi="Calibri" w:cs="Calibri"/>
        </w:rPr>
        <w:t>4%</w:t>
      </w:r>
    </w:p>
    <w:p w14:paraId="4C437F48" w14:textId="1A38A37E" w:rsidR="001C7495" w:rsidRPr="00C954BE" w:rsidRDefault="00536984" w:rsidP="009F5132">
      <w:pPr>
        <w:pStyle w:val="ListParagraph"/>
        <w:numPr>
          <w:ilvl w:val="0"/>
          <w:numId w:val="7"/>
        </w:numPr>
        <w:rPr>
          <w:rFonts w:ascii="Calibri" w:hAnsi="Calibri" w:cs="Calibri"/>
        </w:rPr>
      </w:pPr>
      <w:r w:rsidRPr="00C954BE">
        <w:rPr>
          <w:rFonts w:ascii="Calibri" w:hAnsi="Calibri" w:cs="Calibri"/>
        </w:rPr>
        <w:t xml:space="preserve">The MPFS contains a </w:t>
      </w:r>
      <w:r w:rsidR="001D5853" w:rsidRPr="00C954BE">
        <w:rPr>
          <w:rFonts w:ascii="Calibri" w:hAnsi="Calibri" w:cs="Calibri"/>
        </w:rPr>
        <w:t xml:space="preserve">provision that reduces the work Relative Value Units (RVUs) and intra-service time for all non-time-based codes by 2.5 percent in 2026. This “efficiency adjustment” would further reduce physician reimbursement, creating substantial financial pressures on practices that could limit patient access to crucial procedures and care. </w:t>
      </w:r>
      <w:r w:rsidR="00AB1026" w:rsidRPr="00C954BE">
        <w:rPr>
          <w:rFonts w:ascii="Calibri" w:hAnsi="Calibri" w:cs="Calibri"/>
        </w:rPr>
        <w:t xml:space="preserve">APMA is working with a coalition of like-minded stakeholders to reverse this policy through Congressional action. </w:t>
      </w:r>
    </w:p>
    <w:p w14:paraId="7E9911C1" w14:textId="7BB5D4BA" w:rsidR="00482ED6" w:rsidRPr="00C954BE" w:rsidRDefault="00482ED6" w:rsidP="009F5132">
      <w:pPr>
        <w:pStyle w:val="ListParagraph"/>
        <w:numPr>
          <w:ilvl w:val="0"/>
          <w:numId w:val="7"/>
        </w:numPr>
        <w:rPr>
          <w:rFonts w:ascii="Calibri" w:hAnsi="Calibri" w:cs="Calibri"/>
        </w:rPr>
      </w:pPr>
      <w:r w:rsidRPr="00C954BE">
        <w:rPr>
          <w:rFonts w:ascii="Calibri" w:hAnsi="Calibri" w:cs="Calibri"/>
        </w:rPr>
        <w:t xml:space="preserve">As a direct result of recommendations made by </w:t>
      </w:r>
      <w:r w:rsidR="006A0B9A" w:rsidRPr="00C954BE">
        <w:rPr>
          <w:rFonts w:ascii="Calibri" w:hAnsi="Calibri" w:cs="Calibri"/>
        </w:rPr>
        <w:t xml:space="preserve">Specialty Society RVS Update Committee (RUC), in which APMA is actively involved to represent members' interests, CMS finalized updated valuations </w:t>
      </w:r>
      <w:r w:rsidR="47A5E073" w:rsidRPr="00C954BE">
        <w:rPr>
          <w:rFonts w:ascii="Calibri" w:hAnsi="Calibri" w:cs="Calibri"/>
        </w:rPr>
        <w:t xml:space="preserve">for both </w:t>
      </w:r>
      <w:r w:rsidR="15795B03" w:rsidRPr="00C954BE">
        <w:rPr>
          <w:rFonts w:ascii="Calibri" w:hAnsi="Calibri" w:cs="Calibri"/>
        </w:rPr>
        <w:t>great toe</w:t>
      </w:r>
      <w:r w:rsidR="006A0B9A" w:rsidRPr="00C954BE">
        <w:rPr>
          <w:rFonts w:ascii="Calibri" w:hAnsi="Calibri" w:cs="Calibri"/>
        </w:rPr>
        <w:t xml:space="preserve"> arthrodesis codes for CY 2026</w:t>
      </w:r>
      <w:r w:rsidR="00B24673" w:rsidRPr="00C954BE">
        <w:rPr>
          <w:rFonts w:ascii="Calibri" w:hAnsi="Calibri" w:cs="Calibri"/>
        </w:rPr>
        <w:t>.</w:t>
      </w:r>
    </w:p>
    <w:p w14:paraId="38EA10C5" w14:textId="3E0CEA68" w:rsidR="005506E7" w:rsidRPr="00C954BE" w:rsidRDefault="00E50109" w:rsidP="006E31FB">
      <w:pPr>
        <w:ind w:left="450"/>
        <w:rPr>
          <w:rFonts w:ascii="Calibri" w:hAnsi="Calibri" w:cs="Calibri"/>
        </w:rPr>
      </w:pPr>
      <w:r w:rsidRPr="00C954BE">
        <w:rPr>
          <w:rFonts w:ascii="Calibri" w:hAnsi="Calibri" w:cs="Calibri"/>
          <w:i/>
          <w:iCs/>
        </w:rPr>
        <w:lastRenderedPageBreak/>
        <w:t>Skin Substitute Payment Overhaul</w:t>
      </w:r>
    </w:p>
    <w:p w14:paraId="5CA46F6A" w14:textId="77777777" w:rsidR="00D66515" w:rsidRPr="00C954BE" w:rsidRDefault="000D44D8" w:rsidP="00D66515">
      <w:pPr>
        <w:pStyle w:val="ListParagraph"/>
        <w:numPr>
          <w:ilvl w:val="0"/>
          <w:numId w:val="3"/>
        </w:numPr>
        <w:rPr>
          <w:rFonts w:ascii="Calibri" w:hAnsi="Calibri" w:cs="Calibri"/>
        </w:rPr>
      </w:pPr>
      <w:r w:rsidRPr="00C954BE">
        <w:rPr>
          <w:rFonts w:ascii="Calibri" w:hAnsi="Calibri" w:cs="Calibri"/>
        </w:rPr>
        <w:t>Beginning in 2026, nearly all skin substitutes will be paid under the PFS at $127.28 per cm², regardless of product or indication.</w:t>
      </w:r>
    </w:p>
    <w:p w14:paraId="6B4E5954" w14:textId="77777777" w:rsidR="00D66515" w:rsidRPr="00C954BE" w:rsidRDefault="000D44D8" w:rsidP="00D66515">
      <w:pPr>
        <w:pStyle w:val="ListParagraph"/>
        <w:numPr>
          <w:ilvl w:val="0"/>
          <w:numId w:val="3"/>
        </w:numPr>
        <w:rPr>
          <w:rFonts w:ascii="Calibri" w:hAnsi="Calibri" w:cs="Calibri"/>
        </w:rPr>
      </w:pPr>
      <w:r w:rsidRPr="00C954BE">
        <w:rPr>
          <w:rFonts w:ascii="Calibri" w:hAnsi="Calibri" w:cs="Calibri"/>
        </w:rPr>
        <w:t xml:space="preserve">Non-sheet products will be contractor priced, but coverage remains </w:t>
      </w:r>
      <w:r w:rsidR="00CF1668" w:rsidRPr="00C954BE">
        <w:rPr>
          <w:rFonts w:ascii="Calibri" w:hAnsi="Calibri" w:cs="Calibri"/>
        </w:rPr>
        <w:t>local coverage determination (</w:t>
      </w:r>
      <w:r w:rsidRPr="00C954BE">
        <w:rPr>
          <w:rFonts w:ascii="Calibri" w:hAnsi="Calibri" w:cs="Calibri"/>
        </w:rPr>
        <w:t>LCD</w:t>
      </w:r>
      <w:r w:rsidR="00CF1668" w:rsidRPr="00C954BE">
        <w:rPr>
          <w:rFonts w:ascii="Calibri" w:hAnsi="Calibri" w:cs="Calibri"/>
        </w:rPr>
        <w:t>)</w:t>
      </w:r>
      <w:r w:rsidRPr="00C954BE">
        <w:rPr>
          <w:rFonts w:ascii="Calibri" w:hAnsi="Calibri" w:cs="Calibri"/>
        </w:rPr>
        <w:t>-dependent.</w:t>
      </w:r>
    </w:p>
    <w:p w14:paraId="48B8FD0C" w14:textId="41EB4792" w:rsidR="000D44D8" w:rsidRPr="00C954BE" w:rsidRDefault="00707D5F" w:rsidP="00D66515">
      <w:pPr>
        <w:pStyle w:val="ListParagraph"/>
        <w:numPr>
          <w:ilvl w:val="0"/>
          <w:numId w:val="3"/>
        </w:numPr>
        <w:rPr>
          <w:rFonts w:ascii="Calibri" w:hAnsi="Calibri" w:cs="Calibri"/>
        </w:rPr>
      </w:pPr>
      <w:r w:rsidRPr="00C954BE">
        <w:rPr>
          <w:rFonts w:ascii="Calibri" w:hAnsi="Calibri" w:cs="Calibri"/>
        </w:rPr>
        <w:t xml:space="preserve">All seven </w:t>
      </w:r>
      <w:r w:rsidR="00CF1668" w:rsidRPr="00C954BE">
        <w:rPr>
          <w:rFonts w:ascii="Calibri" w:hAnsi="Calibri" w:cs="Calibri"/>
        </w:rPr>
        <w:t>Medicare Administrative Contractors (</w:t>
      </w:r>
      <w:r w:rsidRPr="00C954BE">
        <w:rPr>
          <w:rFonts w:ascii="Calibri" w:hAnsi="Calibri" w:cs="Calibri"/>
        </w:rPr>
        <w:t>MACs</w:t>
      </w:r>
      <w:r w:rsidR="00CF1668" w:rsidRPr="00C954BE">
        <w:rPr>
          <w:rFonts w:ascii="Calibri" w:hAnsi="Calibri" w:cs="Calibri"/>
        </w:rPr>
        <w:t>)</w:t>
      </w:r>
      <w:r w:rsidRPr="00C954BE">
        <w:rPr>
          <w:rFonts w:ascii="Calibri" w:hAnsi="Calibri" w:cs="Calibri"/>
        </w:rPr>
        <w:t xml:space="preserve"> have finalized LCDs limiting coverage for diabetic foot ulcers (DFUs) and venous leg ulcers (VLUs) beginning January 1, 2026.</w:t>
      </w:r>
      <w:r w:rsidR="00EE3E85" w:rsidRPr="00C954BE">
        <w:rPr>
          <w:rFonts w:ascii="Calibri" w:hAnsi="Calibri" w:cs="Calibri"/>
        </w:rPr>
        <w:t xml:space="preserve"> </w:t>
      </w:r>
      <w:r w:rsidR="002E5631" w:rsidRPr="00C954BE">
        <w:rPr>
          <w:rFonts w:ascii="Calibri" w:hAnsi="Calibri" w:cs="Calibri"/>
        </w:rPr>
        <w:t>There are only 20 named products permitted for DFUs and only 5 products permitted for VLU; more than 200 codes</w:t>
      </w:r>
      <w:r w:rsidR="00EA2CA5" w:rsidRPr="00C954BE">
        <w:rPr>
          <w:rFonts w:ascii="Calibri" w:hAnsi="Calibri" w:cs="Calibri"/>
        </w:rPr>
        <w:t xml:space="preserve"> will be</w:t>
      </w:r>
      <w:r w:rsidR="002E5631" w:rsidRPr="00C954BE">
        <w:rPr>
          <w:rFonts w:ascii="Calibri" w:hAnsi="Calibri" w:cs="Calibri"/>
        </w:rPr>
        <w:t xml:space="preserve"> considered non-covered. </w:t>
      </w:r>
    </w:p>
    <w:p w14:paraId="2AB4598D" w14:textId="77777777" w:rsidR="0089446D" w:rsidRPr="00C954BE" w:rsidRDefault="00DB4D10" w:rsidP="0089446D">
      <w:pPr>
        <w:pStyle w:val="ListParagraph"/>
        <w:numPr>
          <w:ilvl w:val="0"/>
          <w:numId w:val="3"/>
        </w:numPr>
        <w:rPr>
          <w:rFonts w:ascii="Calibri" w:hAnsi="Calibri" w:cs="Calibri"/>
          <w:b/>
          <w:bCs/>
          <w:highlight w:val="yellow"/>
        </w:rPr>
      </w:pPr>
      <w:r w:rsidRPr="00C954BE">
        <w:rPr>
          <w:rFonts w:ascii="Calibri" w:hAnsi="Calibri" w:cs="Calibri"/>
        </w:rPr>
        <w:t>Providers</w:t>
      </w:r>
      <w:r w:rsidR="009E6106" w:rsidRPr="00C954BE">
        <w:rPr>
          <w:rFonts w:ascii="Calibri" w:hAnsi="Calibri" w:cs="Calibri"/>
        </w:rPr>
        <w:t xml:space="preserve"> in</w:t>
      </w:r>
      <w:r w:rsidRPr="00C954BE">
        <w:rPr>
          <w:rFonts w:ascii="Calibri" w:hAnsi="Calibri" w:cs="Calibri"/>
        </w:rPr>
        <w:t xml:space="preserve"> </w:t>
      </w:r>
      <w:hyperlink r:id="rId9" w:history="1">
        <w:r w:rsidRPr="00C954BE">
          <w:rPr>
            <w:rStyle w:val="Hyperlink"/>
            <w:rFonts w:ascii="Calibri" w:hAnsi="Calibri" w:cs="Calibri"/>
            <w:i/>
            <w:iCs/>
            <w:highlight w:val="yellow"/>
          </w:rPr>
          <w:t>Wasteful and Inappropriate Service Reduction (</w:t>
        </w:r>
        <w:proofErr w:type="spellStart"/>
        <w:r w:rsidRPr="00C954BE">
          <w:rPr>
            <w:rStyle w:val="Hyperlink"/>
            <w:rFonts w:ascii="Calibri" w:hAnsi="Calibri" w:cs="Calibri"/>
            <w:i/>
            <w:iCs/>
            <w:highlight w:val="yellow"/>
          </w:rPr>
          <w:t>WISeR</w:t>
        </w:r>
        <w:proofErr w:type="spellEnd"/>
        <w:r w:rsidRPr="00C954BE">
          <w:rPr>
            <w:rStyle w:val="Hyperlink"/>
            <w:rFonts w:ascii="Calibri" w:hAnsi="Calibri" w:cs="Calibri"/>
            <w:i/>
            <w:iCs/>
            <w:highlight w:val="yellow"/>
          </w:rPr>
          <w:t>) Model</w:t>
        </w:r>
      </w:hyperlink>
      <w:r w:rsidRPr="00C954BE">
        <w:rPr>
          <w:rFonts w:ascii="Calibri" w:hAnsi="Calibri" w:cs="Calibri"/>
        </w:rPr>
        <w:t xml:space="preserve"> </w:t>
      </w:r>
      <w:r w:rsidR="009E6106" w:rsidRPr="00C954BE">
        <w:rPr>
          <w:rFonts w:ascii="Calibri" w:hAnsi="Calibri" w:cs="Calibri"/>
        </w:rPr>
        <w:t>states will have to go through prior authorization or pre-payment review</w:t>
      </w:r>
      <w:r w:rsidR="00B81D13" w:rsidRPr="00C954BE">
        <w:rPr>
          <w:rFonts w:ascii="Calibri" w:hAnsi="Calibri" w:cs="Calibri"/>
        </w:rPr>
        <w:t xml:space="preserve"> for certain skin substitute applications</w:t>
      </w:r>
      <w:r w:rsidR="00511A38" w:rsidRPr="00C954BE">
        <w:rPr>
          <w:rFonts w:ascii="Calibri" w:hAnsi="Calibri" w:cs="Calibri"/>
        </w:rPr>
        <w:t xml:space="preserve">. </w:t>
      </w:r>
      <w:r w:rsidR="00511A38" w:rsidRPr="00C954BE">
        <w:rPr>
          <w:rFonts w:ascii="Calibri" w:hAnsi="Calibri" w:cs="Calibri"/>
          <w:b/>
          <w:bCs/>
        </w:rPr>
        <w:t xml:space="preserve">Ohio is included as one of the states required to use the </w:t>
      </w:r>
      <w:proofErr w:type="spellStart"/>
      <w:r w:rsidR="00511A38" w:rsidRPr="00C954BE">
        <w:rPr>
          <w:rFonts w:ascii="Calibri" w:hAnsi="Calibri" w:cs="Calibri"/>
          <w:b/>
          <w:bCs/>
        </w:rPr>
        <w:t>WISeR</w:t>
      </w:r>
      <w:proofErr w:type="spellEnd"/>
      <w:r w:rsidR="00511A38" w:rsidRPr="00C954BE">
        <w:rPr>
          <w:rFonts w:ascii="Calibri" w:hAnsi="Calibri" w:cs="Calibri"/>
          <w:b/>
          <w:bCs/>
        </w:rPr>
        <w:t xml:space="preserve"> Model.</w:t>
      </w:r>
      <w:r w:rsidR="00DE21D3" w:rsidRPr="00C954BE">
        <w:rPr>
          <w:rFonts w:ascii="Calibri" w:hAnsi="Calibri" w:cs="Calibri"/>
        </w:rPr>
        <w:t xml:space="preserve"> (Application of Bioengineered Skin Substitutes to Lower Extremity Chronic Non-Healing Wounds (L35041) and Wound Application of Cellular and/or Tissue Based Products (CTPs), Lower Extremities (L36690)) </w:t>
      </w:r>
      <w:r w:rsidR="0089446D" w:rsidRPr="00C954BE">
        <w:rPr>
          <w:rFonts w:ascii="Calibri" w:hAnsi="Calibri" w:cs="Calibri"/>
        </w:rPr>
        <w:br/>
      </w:r>
      <w:r w:rsidR="0089446D" w:rsidRPr="00C954BE">
        <w:rPr>
          <w:rFonts w:ascii="Calibri" w:hAnsi="Calibri" w:cs="Calibri"/>
        </w:rPr>
        <w:br/>
      </w:r>
      <w:bookmarkStart w:id="0" w:name="Resource_Videos"/>
      <w:bookmarkEnd w:id="0"/>
      <w:r w:rsidR="0089446D" w:rsidRPr="00C954BE">
        <w:rPr>
          <w:rFonts w:ascii="Calibri" w:hAnsi="Calibri" w:cs="Calibri"/>
          <w:b/>
          <w:bCs/>
          <w:highlight w:val="yellow"/>
        </w:rPr>
        <w:t>Member Resource Videos</w:t>
      </w:r>
    </w:p>
    <w:p w14:paraId="63DC44BF" w14:textId="77777777" w:rsidR="0089446D" w:rsidRPr="0089446D" w:rsidRDefault="0089446D" w:rsidP="0089446D">
      <w:pPr>
        <w:pStyle w:val="ListParagraph"/>
        <w:numPr>
          <w:ilvl w:val="0"/>
          <w:numId w:val="3"/>
        </w:numPr>
        <w:rPr>
          <w:rFonts w:ascii="Calibri" w:hAnsi="Calibri" w:cs="Calibri"/>
          <w:highlight w:val="yellow"/>
        </w:rPr>
      </w:pPr>
      <w:r w:rsidRPr="0089446D">
        <w:rPr>
          <w:rFonts w:ascii="Calibri" w:hAnsi="Calibri" w:cs="Calibri"/>
          <w:highlight w:val="yellow"/>
        </w:rPr>
        <w:t xml:space="preserve">To assist members in better understanding how the </w:t>
      </w:r>
      <w:proofErr w:type="spellStart"/>
      <w:r w:rsidRPr="0089446D">
        <w:rPr>
          <w:rFonts w:ascii="Calibri" w:hAnsi="Calibri" w:cs="Calibri"/>
          <w:highlight w:val="yellow"/>
        </w:rPr>
        <w:t>WISEeR</w:t>
      </w:r>
      <w:proofErr w:type="spellEnd"/>
      <w:r w:rsidRPr="0089446D">
        <w:rPr>
          <w:rFonts w:ascii="Calibri" w:hAnsi="Calibri" w:cs="Calibri"/>
          <w:highlight w:val="yellow"/>
        </w:rPr>
        <w:t xml:space="preserve"> model works, and whether or not the model will impact them, APMA has created two resource videos:</w:t>
      </w:r>
    </w:p>
    <w:p w14:paraId="14463B04" w14:textId="3DE81CED" w:rsidR="0089446D" w:rsidRPr="0089446D" w:rsidRDefault="0089446D" w:rsidP="0089446D">
      <w:pPr>
        <w:pStyle w:val="ListParagraph"/>
        <w:numPr>
          <w:ilvl w:val="0"/>
          <w:numId w:val="3"/>
        </w:numPr>
        <w:rPr>
          <w:rFonts w:ascii="Calibri" w:hAnsi="Calibri" w:cs="Calibri"/>
          <w:i/>
          <w:iCs/>
          <w:highlight w:val="yellow"/>
        </w:rPr>
      </w:pPr>
      <w:hyperlink r:id="rId10" w:tgtFrame="_blank" w:history="1">
        <w:r w:rsidRPr="0089446D">
          <w:rPr>
            <w:rStyle w:val="Hyperlink"/>
            <w:rFonts w:ascii="Calibri" w:hAnsi="Calibri" w:cs="Calibri"/>
            <w:i/>
            <w:iCs/>
            <w:highlight w:val="yellow"/>
          </w:rPr>
          <w:t>Introduction and Overview</w:t>
        </w:r>
      </w:hyperlink>
      <w:r w:rsidRPr="0089446D">
        <w:rPr>
          <w:rFonts w:ascii="Calibri" w:hAnsi="Calibri" w:cs="Calibri"/>
          <w:i/>
          <w:iCs/>
          <w:highlight w:val="yellow"/>
        </w:rPr>
        <w:t> (00:16:21)</w:t>
      </w:r>
      <w:r w:rsidRPr="0089446D">
        <w:rPr>
          <w:rFonts w:ascii="Calibri" w:hAnsi="Calibri" w:cs="Calibri"/>
          <w:i/>
          <w:iCs/>
          <w:highlight w:val="yellow"/>
        </w:rPr>
        <w:br/>
      </w:r>
      <w:hyperlink r:id="rId11" w:tgtFrame="_blank" w:history="1">
        <w:r w:rsidRPr="0089446D">
          <w:rPr>
            <w:rStyle w:val="Hyperlink"/>
            <w:rFonts w:ascii="Calibri" w:hAnsi="Calibri" w:cs="Calibri"/>
            <w:i/>
            <w:iCs/>
            <w:highlight w:val="yellow"/>
          </w:rPr>
          <w:t>Download p</w:t>
        </w:r>
        <w:r w:rsidRPr="0089446D">
          <w:rPr>
            <w:rStyle w:val="Hyperlink"/>
            <w:rFonts w:ascii="Calibri" w:hAnsi="Calibri" w:cs="Calibri"/>
            <w:i/>
            <w:iCs/>
            <w:highlight w:val="yellow"/>
          </w:rPr>
          <w:t>resentation (pdf)</w:t>
        </w:r>
      </w:hyperlink>
      <w:r w:rsidRPr="0089446D">
        <w:rPr>
          <w:rFonts w:ascii="Calibri" w:hAnsi="Calibri" w:cs="Calibri"/>
          <w:i/>
          <w:iCs/>
          <w:highlight w:val="yellow"/>
        </w:rPr>
        <w:t> </w:t>
      </w:r>
    </w:p>
    <w:p w14:paraId="6552C3F2" w14:textId="7BA2BAF5" w:rsidR="0089446D" w:rsidRPr="0089446D" w:rsidRDefault="0089446D" w:rsidP="0089446D">
      <w:pPr>
        <w:pStyle w:val="ListParagraph"/>
        <w:numPr>
          <w:ilvl w:val="0"/>
          <w:numId w:val="3"/>
        </w:numPr>
        <w:rPr>
          <w:rFonts w:ascii="Calibri" w:hAnsi="Calibri" w:cs="Calibri"/>
          <w:i/>
          <w:iCs/>
          <w:highlight w:val="yellow"/>
        </w:rPr>
      </w:pPr>
      <w:hyperlink r:id="rId12" w:tgtFrame="_blank" w:history="1">
        <w:r w:rsidRPr="0089446D">
          <w:rPr>
            <w:rStyle w:val="Hyperlink"/>
            <w:rFonts w:ascii="Calibri" w:hAnsi="Calibri" w:cs="Calibri"/>
            <w:i/>
            <w:iCs/>
            <w:highlight w:val="yellow"/>
          </w:rPr>
          <w:t xml:space="preserve">Nuts and Bolts for </w:t>
        </w:r>
        <w:proofErr w:type="spellStart"/>
        <w:r w:rsidRPr="0089446D">
          <w:rPr>
            <w:rStyle w:val="Hyperlink"/>
            <w:rFonts w:ascii="Calibri" w:hAnsi="Calibri" w:cs="Calibri"/>
            <w:i/>
            <w:iCs/>
            <w:highlight w:val="yellow"/>
          </w:rPr>
          <w:t>WISeR</w:t>
        </w:r>
        <w:proofErr w:type="spellEnd"/>
        <w:r w:rsidRPr="0089446D">
          <w:rPr>
            <w:rStyle w:val="Hyperlink"/>
            <w:rFonts w:ascii="Calibri" w:hAnsi="Calibri" w:cs="Calibri"/>
            <w:i/>
            <w:iCs/>
            <w:highlight w:val="yellow"/>
          </w:rPr>
          <w:t xml:space="preserve"> Model Compliance</w:t>
        </w:r>
      </w:hyperlink>
      <w:r w:rsidRPr="0089446D">
        <w:rPr>
          <w:rFonts w:ascii="Calibri" w:hAnsi="Calibri" w:cs="Calibri"/>
          <w:i/>
          <w:iCs/>
          <w:highlight w:val="yellow"/>
        </w:rPr>
        <w:t xml:space="preserve"> (00:27:06)</w:t>
      </w:r>
      <w:r w:rsidRPr="0089446D">
        <w:rPr>
          <w:rFonts w:ascii="Calibri" w:hAnsi="Calibri" w:cs="Calibri"/>
          <w:i/>
          <w:iCs/>
          <w:highlight w:val="yellow"/>
        </w:rPr>
        <w:br/>
      </w:r>
      <w:hyperlink r:id="rId13" w:tgtFrame="_blank" w:history="1">
        <w:r w:rsidRPr="0089446D">
          <w:rPr>
            <w:rStyle w:val="Hyperlink"/>
            <w:rFonts w:ascii="Calibri" w:hAnsi="Calibri" w:cs="Calibri"/>
            <w:i/>
            <w:iCs/>
            <w:highlight w:val="yellow"/>
          </w:rPr>
          <w:t>Download pr</w:t>
        </w:r>
        <w:r w:rsidRPr="0089446D">
          <w:rPr>
            <w:rStyle w:val="Hyperlink"/>
            <w:rFonts w:ascii="Calibri" w:hAnsi="Calibri" w:cs="Calibri"/>
            <w:i/>
            <w:iCs/>
            <w:highlight w:val="yellow"/>
          </w:rPr>
          <w:t>esentation (pdf)</w:t>
        </w:r>
      </w:hyperlink>
    </w:p>
    <w:p w14:paraId="4439E4E6" w14:textId="3333FD4C" w:rsidR="009E6106" w:rsidRPr="00C954BE" w:rsidRDefault="009E6106" w:rsidP="0089446D">
      <w:pPr>
        <w:pStyle w:val="ListParagraph"/>
        <w:ind w:left="1080"/>
        <w:rPr>
          <w:rFonts w:ascii="Calibri" w:hAnsi="Calibri" w:cs="Calibri"/>
        </w:rPr>
      </w:pPr>
    </w:p>
    <w:p w14:paraId="063D7C0C" w14:textId="1A1D584A" w:rsidR="00AF262A" w:rsidRPr="00C954BE" w:rsidRDefault="00AF262A" w:rsidP="006E31FB">
      <w:pPr>
        <w:ind w:left="360"/>
        <w:rPr>
          <w:rFonts w:ascii="Calibri" w:hAnsi="Calibri" w:cs="Calibri"/>
          <w:i/>
          <w:iCs/>
        </w:rPr>
      </w:pPr>
      <w:r w:rsidRPr="00C954BE">
        <w:rPr>
          <w:rFonts w:ascii="Calibri" w:hAnsi="Calibri" w:cs="Calibri"/>
          <w:i/>
          <w:iCs/>
        </w:rPr>
        <w:t>MIPS &amp; MVP Updates</w:t>
      </w:r>
    </w:p>
    <w:p w14:paraId="2A5478B1" w14:textId="4551E611" w:rsidR="001E2323" w:rsidRPr="00C954BE" w:rsidRDefault="00AE1E91" w:rsidP="00D66515">
      <w:pPr>
        <w:pStyle w:val="ListParagraph"/>
        <w:numPr>
          <w:ilvl w:val="0"/>
          <w:numId w:val="3"/>
        </w:numPr>
        <w:rPr>
          <w:rFonts w:ascii="Calibri" w:hAnsi="Calibri" w:cs="Calibri"/>
        </w:rPr>
      </w:pPr>
      <w:r w:rsidRPr="00C954BE">
        <w:rPr>
          <w:rFonts w:ascii="Calibri" w:hAnsi="Calibri" w:cs="Calibri"/>
        </w:rPr>
        <w:t xml:space="preserve">A </w:t>
      </w:r>
      <w:r w:rsidR="00F41CB4" w:rsidRPr="00C954BE">
        <w:rPr>
          <w:rFonts w:ascii="Calibri" w:hAnsi="Calibri" w:cs="Calibri"/>
        </w:rPr>
        <w:t xml:space="preserve">Podiatry </w:t>
      </w:r>
      <w:r w:rsidRPr="00C954BE">
        <w:rPr>
          <w:rFonts w:ascii="Calibri" w:hAnsi="Calibri" w:cs="Calibri"/>
        </w:rPr>
        <w:t>Merit-based Incentive Payment System (</w:t>
      </w:r>
      <w:r w:rsidR="00F41CB4" w:rsidRPr="00C954BE">
        <w:rPr>
          <w:rFonts w:ascii="Calibri" w:hAnsi="Calibri" w:cs="Calibri"/>
        </w:rPr>
        <w:t>MIPS</w:t>
      </w:r>
      <w:r w:rsidRPr="00C954BE">
        <w:rPr>
          <w:rFonts w:ascii="Calibri" w:hAnsi="Calibri" w:cs="Calibri"/>
        </w:rPr>
        <w:t>)</w:t>
      </w:r>
      <w:r w:rsidR="00F41CB4" w:rsidRPr="00C954BE">
        <w:rPr>
          <w:rFonts w:ascii="Calibri" w:hAnsi="Calibri" w:cs="Calibri"/>
        </w:rPr>
        <w:t xml:space="preserve"> Value Pathway (MVP) </w:t>
      </w:r>
      <w:r w:rsidRPr="00C954BE">
        <w:rPr>
          <w:rFonts w:ascii="Calibri" w:hAnsi="Calibri" w:cs="Calibri"/>
        </w:rPr>
        <w:t xml:space="preserve">was </w:t>
      </w:r>
      <w:r w:rsidR="00F41CB4" w:rsidRPr="00C954BE">
        <w:rPr>
          <w:rFonts w:ascii="Calibri" w:hAnsi="Calibri" w:cs="Calibri"/>
        </w:rPr>
        <w:t>added to the MIPS MVP Inventory</w:t>
      </w:r>
      <w:r w:rsidRPr="00C954BE">
        <w:rPr>
          <w:rFonts w:ascii="Calibri" w:hAnsi="Calibri" w:cs="Calibri"/>
        </w:rPr>
        <w:t>. This MVP is reflective of APMA’s continuous engagement with CMS to provide more meaningful measures for our members, while ensuring that care is correctly attributed only to appropriate practitioners. </w:t>
      </w:r>
      <w:r w:rsidR="00D82DDC" w:rsidRPr="00C954BE">
        <w:rPr>
          <w:rFonts w:ascii="Calibri" w:hAnsi="Calibri" w:cs="Calibri"/>
        </w:rPr>
        <w:br/>
      </w:r>
    </w:p>
    <w:p w14:paraId="46A1D9B2" w14:textId="7CBD5F57" w:rsidR="00630912" w:rsidRPr="00C954BE" w:rsidRDefault="001E2323" w:rsidP="00630912">
      <w:pPr>
        <w:pStyle w:val="ListParagraph"/>
        <w:numPr>
          <w:ilvl w:val="0"/>
          <w:numId w:val="9"/>
        </w:numPr>
        <w:rPr>
          <w:rFonts w:ascii="Calibri" w:hAnsi="Calibri" w:cs="Calibri"/>
          <w:b/>
          <w:bCs/>
        </w:rPr>
      </w:pPr>
      <w:r w:rsidRPr="00C954BE">
        <w:rPr>
          <w:rFonts w:ascii="Calibri" w:hAnsi="Calibri" w:cs="Calibri"/>
          <w:b/>
          <w:bCs/>
        </w:rPr>
        <w:t xml:space="preserve">Compliance, Audits, and the </w:t>
      </w:r>
      <w:r w:rsidR="00D278D8" w:rsidRPr="00C954BE">
        <w:rPr>
          <w:rFonts w:ascii="Calibri" w:hAnsi="Calibri" w:cs="Calibri"/>
          <w:b/>
          <w:bCs/>
        </w:rPr>
        <w:t>Office of the Inspector General (</w:t>
      </w:r>
      <w:r w:rsidRPr="00C954BE">
        <w:rPr>
          <w:rFonts w:ascii="Calibri" w:hAnsi="Calibri" w:cs="Calibri"/>
          <w:b/>
          <w:bCs/>
        </w:rPr>
        <w:t>OIG</w:t>
      </w:r>
      <w:r w:rsidR="00D278D8" w:rsidRPr="00C954BE">
        <w:rPr>
          <w:rFonts w:ascii="Calibri" w:hAnsi="Calibri" w:cs="Calibri"/>
          <w:b/>
          <w:bCs/>
        </w:rPr>
        <w:t>)</w:t>
      </w:r>
      <w:r w:rsidRPr="00C954BE">
        <w:rPr>
          <w:rFonts w:ascii="Calibri" w:hAnsi="Calibri" w:cs="Calibri"/>
          <w:b/>
          <w:bCs/>
        </w:rPr>
        <w:t>: What Providers Need to Know</w:t>
      </w:r>
    </w:p>
    <w:p w14:paraId="32922E65" w14:textId="74BB27F1" w:rsidR="00D66515" w:rsidRPr="00C954BE" w:rsidRDefault="00630912" w:rsidP="00D66515">
      <w:pPr>
        <w:pStyle w:val="ListParagraph"/>
        <w:ind w:left="360"/>
        <w:rPr>
          <w:rFonts w:ascii="Calibri" w:hAnsi="Calibri" w:cs="Calibri"/>
        </w:rPr>
      </w:pPr>
      <w:r w:rsidRPr="00C954BE">
        <w:rPr>
          <w:rFonts w:ascii="Calibri" w:hAnsi="Calibri" w:cs="Calibri"/>
        </w:rPr>
        <w:t>Former HHS-OIG Senior Counsel David Traskey</w:t>
      </w:r>
      <w:r w:rsidR="0028628C" w:rsidRPr="00C954BE">
        <w:rPr>
          <w:rFonts w:ascii="Calibri" w:hAnsi="Calibri" w:cs="Calibri"/>
        </w:rPr>
        <w:t>, Esq.,</w:t>
      </w:r>
      <w:r w:rsidRPr="00C954BE">
        <w:rPr>
          <w:rFonts w:ascii="Calibri" w:hAnsi="Calibri" w:cs="Calibri"/>
        </w:rPr>
        <w:t xml:space="preserve"> provided practical tips </w:t>
      </w:r>
      <w:r w:rsidR="003E6ADA" w:rsidRPr="00C954BE">
        <w:rPr>
          <w:rFonts w:ascii="Calibri" w:hAnsi="Calibri" w:cs="Calibri"/>
        </w:rPr>
        <w:t xml:space="preserve">on managing skin substitute </w:t>
      </w:r>
      <w:r w:rsidR="04103E64" w:rsidRPr="00C954BE">
        <w:rPr>
          <w:rFonts w:ascii="Calibri" w:hAnsi="Calibri" w:cs="Calibri"/>
        </w:rPr>
        <w:t xml:space="preserve">documentation </w:t>
      </w:r>
      <w:r w:rsidR="003E6ADA" w:rsidRPr="00C954BE">
        <w:rPr>
          <w:rFonts w:ascii="Calibri" w:hAnsi="Calibri" w:cs="Calibri"/>
        </w:rPr>
        <w:t>and reporting</w:t>
      </w:r>
      <w:r w:rsidRPr="00C954BE">
        <w:rPr>
          <w:rFonts w:ascii="Calibri" w:hAnsi="Calibri" w:cs="Calibri"/>
        </w:rPr>
        <w:t>. Key messages included:</w:t>
      </w:r>
    </w:p>
    <w:p w14:paraId="73401FAF" w14:textId="77777777" w:rsidR="00D66515" w:rsidRPr="00C954BE" w:rsidRDefault="0060438A" w:rsidP="00D66515">
      <w:pPr>
        <w:pStyle w:val="ListParagraph"/>
        <w:numPr>
          <w:ilvl w:val="0"/>
          <w:numId w:val="3"/>
        </w:numPr>
        <w:rPr>
          <w:rFonts w:ascii="Calibri" w:hAnsi="Calibri" w:cs="Calibri"/>
        </w:rPr>
      </w:pPr>
      <w:r w:rsidRPr="00C954BE">
        <w:rPr>
          <w:rFonts w:ascii="Calibri" w:hAnsi="Calibri" w:cs="Calibri"/>
        </w:rPr>
        <w:t>Skin substitute utilization and relationships with vendors are high-risk audit targets, with the government scrutinizing high-cost use and potential Anti-Kickback Statute issues.</w:t>
      </w:r>
    </w:p>
    <w:p w14:paraId="258D0D77" w14:textId="77777777" w:rsidR="00D66515" w:rsidRPr="00C954BE" w:rsidRDefault="008F0FC6" w:rsidP="00D66515">
      <w:pPr>
        <w:pStyle w:val="ListParagraph"/>
        <w:numPr>
          <w:ilvl w:val="0"/>
          <w:numId w:val="3"/>
        </w:numPr>
        <w:rPr>
          <w:rFonts w:ascii="Calibri" w:hAnsi="Calibri" w:cs="Calibri"/>
        </w:rPr>
      </w:pPr>
      <w:r w:rsidRPr="00C954BE">
        <w:rPr>
          <w:rFonts w:ascii="Calibri" w:hAnsi="Calibri" w:cs="Calibri"/>
        </w:rPr>
        <w:t xml:space="preserve">OIG compliance risks and major red flags </w:t>
      </w:r>
      <w:r w:rsidR="00C7555D" w:rsidRPr="00C954BE">
        <w:rPr>
          <w:rFonts w:ascii="Calibri" w:hAnsi="Calibri" w:cs="Calibri"/>
        </w:rPr>
        <w:t>include</w:t>
      </w:r>
      <w:r w:rsidRPr="00C954BE">
        <w:rPr>
          <w:rFonts w:ascii="Calibri" w:hAnsi="Calibri" w:cs="Calibri"/>
        </w:rPr>
        <w:t xml:space="preserve"> unfamiliar referrals, questionable compensation arrangements, improper billing privilege reassignment, altered records, and reimbursement “guarantees.”</w:t>
      </w:r>
    </w:p>
    <w:p w14:paraId="46F8147E" w14:textId="707A7951" w:rsidR="00D82DDC" w:rsidRPr="00C954BE" w:rsidRDefault="00D82DDC" w:rsidP="00D66515">
      <w:pPr>
        <w:pStyle w:val="ListParagraph"/>
        <w:numPr>
          <w:ilvl w:val="0"/>
          <w:numId w:val="3"/>
        </w:numPr>
        <w:rPr>
          <w:rFonts w:ascii="Calibri" w:hAnsi="Calibri" w:cs="Calibri"/>
        </w:rPr>
      </w:pPr>
      <w:r w:rsidRPr="00C954BE">
        <w:rPr>
          <w:rFonts w:ascii="Calibri" w:hAnsi="Calibri" w:cs="Calibri"/>
        </w:rPr>
        <w:t>Providers should keep internal compliance programs updated, conduct periodic audits, and seek legal counsel immediately if contacted by regulators.</w:t>
      </w:r>
    </w:p>
    <w:p w14:paraId="34360E09" w14:textId="77777777" w:rsidR="00D82DDC" w:rsidRPr="00C954BE" w:rsidRDefault="00D82DDC" w:rsidP="00D82DDC">
      <w:pPr>
        <w:pStyle w:val="ListParagraph"/>
        <w:ind w:left="1440"/>
        <w:rPr>
          <w:rFonts w:ascii="Calibri" w:hAnsi="Calibri" w:cs="Calibri"/>
        </w:rPr>
      </w:pPr>
    </w:p>
    <w:p w14:paraId="412C4CD3" w14:textId="77777777" w:rsidR="001278DE" w:rsidRPr="00C954BE" w:rsidRDefault="001278DE" w:rsidP="001278DE">
      <w:pPr>
        <w:pStyle w:val="ListParagraph"/>
        <w:ind w:left="1080"/>
        <w:rPr>
          <w:rFonts w:ascii="Calibri" w:hAnsi="Calibri" w:cs="Calibri"/>
        </w:rPr>
      </w:pPr>
    </w:p>
    <w:p w14:paraId="7A399F4E" w14:textId="287254FE" w:rsidR="001278DE" w:rsidRPr="00C954BE" w:rsidRDefault="001278DE" w:rsidP="001278DE">
      <w:pPr>
        <w:pStyle w:val="ListParagraph"/>
        <w:numPr>
          <w:ilvl w:val="0"/>
          <w:numId w:val="9"/>
        </w:numPr>
        <w:rPr>
          <w:rFonts w:ascii="Calibri" w:hAnsi="Calibri" w:cs="Calibri"/>
          <w:b/>
          <w:bCs/>
        </w:rPr>
      </w:pPr>
      <w:r w:rsidRPr="00C954BE">
        <w:rPr>
          <w:rFonts w:ascii="Calibri" w:hAnsi="Calibri" w:cs="Calibri"/>
          <w:b/>
          <w:bCs/>
        </w:rPr>
        <w:t>Medicare Advantage Trends: Contracting, Networks, and Prior Authorization</w:t>
      </w:r>
    </w:p>
    <w:p w14:paraId="178F3505" w14:textId="443D5D60" w:rsidR="005723D9" w:rsidRPr="00C954BE" w:rsidRDefault="001278DE" w:rsidP="005723D9">
      <w:pPr>
        <w:pStyle w:val="ListParagraph"/>
        <w:ind w:left="360"/>
        <w:rPr>
          <w:rFonts w:ascii="Calibri" w:hAnsi="Calibri" w:cs="Calibri"/>
        </w:rPr>
      </w:pPr>
      <w:r w:rsidRPr="00C954BE">
        <w:rPr>
          <w:rFonts w:ascii="Calibri" w:hAnsi="Calibri" w:cs="Calibri"/>
        </w:rPr>
        <w:t>Kelli Back</w:t>
      </w:r>
      <w:r w:rsidR="00371A79" w:rsidRPr="00C954BE">
        <w:rPr>
          <w:rFonts w:ascii="Calibri" w:hAnsi="Calibri" w:cs="Calibri"/>
        </w:rPr>
        <w:t>, Esq.,</w:t>
      </w:r>
      <w:r w:rsidRPr="00C954BE">
        <w:rPr>
          <w:rFonts w:ascii="Calibri" w:hAnsi="Calibri" w:cs="Calibri"/>
        </w:rPr>
        <w:t xml:space="preserve"> provided an in-depth overview of Medicare Advantage (MA)</w:t>
      </w:r>
      <w:r w:rsidR="009D28F2" w:rsidRPr="00C954BE">
        <w:rPr>
          <w:rFonts w:ascii="Calibri" w:hAnsi="Calibri" w:cs="Calibri"/>
        </w:rPr>
        <w:t>:</w:t>
      </w:r>
    </w:p>
    <w:p w14:paraId="521EB84A" w14:textId="77777777" w:rsidR="005723D9" w:rsidRPr="00C954BE" w:rsidRDefault="005723D9" w:rsidP="005723D9">
      <w:pPr>
        <w:pStyle w:val="ListParagraph"/>
        <w:numPr>
          <w:ilvl w:val="0"/>
          <w:numId w:val="2"/>
        </w:numPr>
        <w:rPr>
          <w:rFonts w:ascii="Calibri" w:hAnsi="Calibri" w:cs="Calibri"/>
        </w:rPr>
      </w:pPr>
      <w:r w:rsidRPr="00C954BE">
        <w:rPr>
          <w:rFonts w:ascii="Calibri" w:hAnsi="Calibri" w:cs="Calibri"/>
        </w:rPr>
        <w:t>MA enrollment and market shifts: For the first time in a decade, CMS projects an overall decline in MA enrollment, with plan exits and service-area reductions affecting more than a million beneficiaries and driving some patients back to traditional Medicare.</w:t>
      </w:r>
    </w:p>
    <w:p w14:paraId="3AFB9E12" w14:textId="45255E00" w:rsidR="005723D9" w:rsidRPr="00C954BE" w:rsidRDefault="005723D9" w:rsidP="005723D9">
      <w:pPr>
        <w:pStyle w:val="ListParagraph"/>
        <w:numPr>
          <w:ilvl w:val="0"/>
          <w:numId w:val="2"/>
        </w:numPr>
        <w:rPr>
          <w:rFonts w:ascii="Calibri" w:hAnsi="Calibri" w:cs="Calibri"/>
        </w:rPr>
      </w:pPr>
      <w:r w:rsidRPr="00C954BE">
        <w:rPr>
          <w:rFonts w:ascii="Calibri" w:hAnsi="Calibri" w:cs="Calibri"/>
        </w:rPr>
        <w:t>Network adequacy: MA organizations must meet CMS network adequacy standards for podiatrists; the period from late fall through mid-spring, when plans build networks for new or expanding service areas, is often the best time to negotiate contract terms and rates.</w:t>
      </w:r>
    </w:p>
    <w:p w14:paraId="33244378" w14:textId="629C80A5" w:rsidR="005723D9" w:rsidRPr="00C954BE" w:rsidRDefault="005723D9" w:rsidP="005723D9">
      <w:pPr>
        <w:pStyle w:val="ListParagraph"/>
        <w:numPr>
          <w:ilvl w:val="0"/>
          <w:numId w:val="2"/>
        </w:numPr>
        <w:rPr>
          <w:rFonts w:ascii="Calibri" w:hAnsi="Calibri" w:cs="Calibri"/>
        </w:rPr>
      </w:pPr>
      <w:r w:rsidRPr="00C954BE">
        <w:rPr>
          <w:rFonts w:ascii="Calibri" w:hAnsi="Calibri" w:cs="Calibri"/>
        </w:rPr>
        <w:t xml:space="preserve">New prior authorization (PA) rules in 2026: Standard PA decision timeframes will be cut to 7 days, plans must post PA approval/denial and appeal data on their websites by January 1 each year, and they must use electronic </w:t>
      </w:r>
      <w:r w:rsidR="002E76A0" w:rsidRPr="00C954BE">
        <w:rPr>
          <w:rFonts w:ascii="Calibri" w:hAnsi="Calibri" w:cs="Calibri"/>
        </w:rPr>
        <w:t xml:space="preserve">application programming interfaces </w:t>
      </w:r>
      <w:r w:rsidR="00C379D8" w:rsidRPr="00C954BE">
        <w:rPr>
          <w:rFonts w:ascii="Calibri" w:hAnsi="Calibri" w:cs="Calibri"/>
        </w:rPr>
        <w:t>(</w:t>
      </w:r>
      <w:r w:rsidRPr="00C954BE">
        <w:rPr>
          <w:rFonts w:ascii="Calibri" w:hAnsi="Calibri" w:cs="Calibri"/>
        </w:rPr>
        <w:t>APIs</w:t>
      </w:r>
      <w:r w:rsidR="00C379D8" w:rsidRPr="00C954BE">
        <w:rPr>
          <w:rFonts w:ascii="Calibri" w:hAnsi="Calibri" w:cs="Calibri"/>
        </w:rPr>
        <w:t>)</w:t>
      </w:r>
      <w:r w:rsidRPr="00C954BE">
        <w:rPr>
          <w:rFonts w:ascii="Calibri" w:hAnsi="Calibri" w:cs="Calibri"/>
        </w:rPr>
        <w:t xml:space="preserve"> to receive and respond to PA requests.</w:t>
      </w:r>
    </w:p>
    <w:p w14:paraId="3EB887B8" w14:textId="37154B8A" w:rsidR="005723D9" w:rsidRPr="00C954BE" w:rsidRDefault="005723D9" w:rsidP="005723D9">
      <w:pPr>
        <w:pStyle w:val="ListParagraph"/>
        <w:numPr>
          <w:ilvl w:val="0"/>
          <w:numId w:val="2"/>
        </w:numPr>
        <w:rPr>
          <w:rFonts w:ascii="Calibri" w:hAnsi="Calibri" w:cs="Calibri"/>
        </w:rPr>
      </w:pPr>
      <w:r w:rsidRPr="00C954BE">
        <w:rPr>
          <w:rFonts w:ascii="Calibri" w:hAnsi="Calibri" w:cs="Calibri"/>
        </w:rPr>
        <w:t xml:space="preserve">Limits on MA coverage criteria: MA plans must follow Medicare </w:t>
      </w:r>
      <w:r w:rsidR="00F50E9F" w:rsidRPr="00C954BE">
        <w:rPr>
          <w:rFonts w:ascii="Calibri" w:hAnsi="Calibri" w:cs="Calibri"/>
        </w:rPr>
        <w:t>national coverage determinations (</w:t>
      </w:r>
      <w:r w:rsidRPr="00C954BE">
        <w:rPr>
          <w:rFonts w:ascii="Calibri" w:hAnsi="Calibri" w:cs="Calibri"/>
        </w:rPr>
        <w:t>NCDs</w:t>
      </w:r>
      <w:r w:rsidR="00F50E9F" w:rsidRPr="00C954BE">
        <w:rPr>
          <w:rFonts w:ascii="Calibri" w:hAnsi="Calibri" w:cs="Calibri"/>
        </w:rPr>
        <w:t>)</w:t>
      </w:r>
      <w:r w:rsidRPr="00C954BE">
        <w:rPr>
          <w:rFonts w:ascii="Calibri" w:hAnsi="Calibri" w:cs="Calibri"/>
        </w:rPr>
        <w:t>/LCDs and cannot create criteria that narrow who can provide a covered service (for example, they cannot exclude podiatrists when fee-for-service Medicare allows podiatrists to perform that service), and any internal criteria must be evidence-based and publicly accessible.</w:t>
      </w:r>
    </w:p>
    <w:p w14:paraId="516DA974" w14:textId="10248A6E" w:rsidR="00A42F2A" w:rsidRPr="00C954BE" w:rsidRDefault="005723D9" w:rsidP="005723D9">
      <w:pPr>
        <w:pStyle w:val="ListParagraph"/>
        <w:numPr>
          <w:ilvl w:val="0"/>
          <w:numId w:val="2"/>
        </w:numPr>
        <w:rPr>
          <w:rFonts w:ascii="Calibri" w:hAnsi="Calibri" w:cs="Calibri"/>
        </w:rPr>
      </w:pPr>
      <w:r w:rsidRPr="00C954BE">
        <w:rPr>
          <w:rFonts w:ascii="Calibri" w:hAnsi="Calibri" w:cs="Calibri"/>
        </w:rPr>
        <w:t>Gold-carding: Gold-card programs can reduce PA burden but do not prevent retrospective audits or payment denials</w:t>
      </w:r>
    </w:p>
    <w:p w14:paraId="07CF5AE8" w14:textId="5D31668D" w:rsidR="006C4CDF" w:rsidRPr="00C954BE" w:rsidRDefault="00A42F2A" w:rsidP="005723D9">
      <w:pPr>
        <w:pStyle w:val="ListParagraph"/>
        <w:numPr>
          <w:ilvl w:val="0"/>
          <w:numId w:val="2"/>
        </w:numPr>
        <w:rPr>
          <w:rFonts w:ascii="Calibri" w:hAnsi="Calibri" w:cs="Calibri"/>
        </w:rPr>
      </w:pPr>
      <w:r w:rsidRPr="00C954BE">
        <w:rPr>
          <w:rFonts w:ascii="Calibri" w:hAnsi="Calibri" w:cs="Calibri"/>
        </w:rPr>
        <w:t xml:space="preserve">Downcoding: </w:t>
      </w:r>
      <w:r w:rsidR="005723D9" w:rsidRPr="00C954BE">
        <w:rPr>
          <w:rFonts w:ascii="Calibri" w:hAnsi="Calibri" w:cs="Calibri"/>
        </w:rPr>
        <w:t xml:space="preserve">CAC/PIAC reps should encourage practices to monitor </w:t>
      </w:r>
      <w:r w:rsidR="00542F59" w:rsidRPr="00C954BE">
        <w:rPr>
          <w:rFonts w:ascii="Calibri" w:hAnsi="Calibri" w:cs="Calibri"/>
        </w:rPr>
        <w:t>payers for</w:t>
      </w:r>
      <w:r w:rsidR="005723D9" w:rsidRPr="00C954BE">
        <w:rPr>
          <w:rFonts w:ascii="Calibri" w:hAnsi="Calibri" w:cs="Calibri"/>
        </w:rPr>
        <w:t xml:space="preserve"> </w:t>
      </w:r>
      <w:r w:rsidR="00542F59" w:rsidRPr="00C954BE">
        <w:rPr>
          <w:rFonts w:ascii="Calibri" w:hAnsi="Calibri" w:cs="Calibri"/>
        </w:rPr>
        <w:t>automatic</w:t>
      </w:r>
      <w:r w:rsidR="005723D9" w:rsidRPr="00C954BE">
        <w:rPr>
          <w:rFonts w:ascii="Calibri" w:hAnsi="Calibri" w:cs="Calibri"/>
        </w:rPr>
        <w:t xml:space="preserve"> downcoding and to appeal systematically, using payer policies and documentation to challenge inappropriate code changes.</w:t>
      </w:r>
    </w:p>
    <w:p w14:paraId="2E346AC5" w14:textId="77777777" w:rsidR="00C31A4A" w:rsidRPr="00C954BE" w:rsidRDefault="00C31A4A" w:rsidP="00C31A4A">
      <w:pPr>
        <w:pStyle w:val="ListParagraph"/>
        <w:ind w:left="1080"/>
        <w:rPr>
          <w:rFonts w:ascii="Calibri" w:hAnsi="Calibri" w:cs="Calibri"/>
        </w:rPr>
      </w:pPr>
    </w:p>
    <w:p w14:paraId="5B65A63A" w14:textId="1A927546" w:rsidR="008E286B" w:rsidRPr="00C954BE" w:rsidRDefault="00C31A4A" w:rsidP="008E286B">
      <w:pPr>
        <w:pStyle w:val="ListParagraph"/>
        <w:numPr>
          <w:ilvl w:val="0"/>
          <w:numId w:val="9"/>
        </w:numPr>
        <w:rPr>
          <w:rFonts w:ascii="Calibri" w:hAnsi="Calibri" w:cs="Calibri"/>
          <w:b/>
          <w:bCs/>
        </w:rPr>
      </w:pPr>
      <w:r w:rsidRPr="00C954BE">
        <w:rPr>
          <w:rFonts w:ascii="Calibri" w:hAnsi="Calibri" w:cs="Calibri"/>
          <w:b/>
          <w:bCs/>
        </w:rPr>
        <w:t>Advocacy in Action: Legislative and Regulatory Wins:</w:t>
      </w:r>
    </w:p>
    <w:p w14:paraId="52746AEB" w14:textId="4BC99188" w:rsidR="00C31A4A" w:rsidRPr="00C954BE" w:rsidRDefault="00C31A4A" w:rsidP="00C31A4A">
      <w:pPr>
        <w:pStyle w:val="ListParagraph"/>
        <w:ind w:left="360"/>
        <w:rPr>
          <w:rFonts w:ascii="Calibri" w:hAnsi="Calibri" w:cs="Calibri"/>
        </w:rPr>
      </w:pPr>
      <w:r w:rsidRPr="00C954BE">
        <w:rPr>
          <w:rFonts w:ascii="Calibri" w:hAnsi="Calibri" w:cs="Calibri"/>
        </w:rPr>
        <w:t>APMA Vice President of Advocacy Chad Appel, JD,</w:t>
      </w:r>
      <w:r w:rsidR="002774B6" w:rsidRPr="00C954BE">
        <w:rPr>
          <w:rFonts w:ascii="Calibri" w:hAnsi="Calibri" w:cs="Calibri"/>
        </w:rPr>
        <w:t xml:space="preserve"> CAE,</w:t>
      </w:r>
      <w:r w:rsidRPr="00C954BE">
        <w:rPr>
          <w:rFonts w:ascii="Calibri" w:hAnsi="Calibri" w:cs="Calibri"/>
        </w:rPr>
        <w:t xml:space="preserve"> delivered timely updates on:</w:t>
      </w:r>
    </w:p>
    <w:p w14:paraId="5EED45D5" w14:textId="0D9649C2" w:rsidR="002774B6" w:rsidRPr="00C954BE" w:rsidRDefault="002774B6" w:rsidP="002774B6">
      <w:pPr>
        <w:pStyle w:val="ListParagraph"/>
        <w:numPr>
          <w:ilvl w:val="0"/>
          <w:numId w:val="4"/>
        </w:numPr>
        <w:rPr>
          <w:rFonts w:ascii="Calibri" w:hAnsi="Calibri" w:cs="Calibri"/>
        </w:rPr>
      </w:pPr>
      <w:r w:rsidRPr="00C954BE">
        <w:rPr>
          <w:rFonts w:ascii="Calibri" w:hAnsi="Calibri" w:cs="Calibri"/>
        </w:rPr>
        <w:t>Congressional physician payment reforms (including the 2.5% Medicare update for 2026)</w:t>
      </w:r>
      <w:r w:rsidR="00C0478B" w:rsidRPr="00C954BE">
        <w:rPr>
          <w:rFonts w:ascii="Calibri" w:hAnsi="Calibri" w:cs="Calibri"/>
        </w:rPr>
        <w:t>. APMA</w:t>
      </w:r>
      <w:r w:rsidR="0059637E" w:rsidRPr="00C954BE">
        <w:rPr>
          <w:rFonts w:ascii="Calibri" w:hAnsi="Calibri" w:cs="Calibri"/>
        </w:rPr>
        <w:t>’s</w:t>
      </w:r>
      <w:r w:rsidR="00C0478B" w:rsidRPr="00C954BE">
        <w:rPr>
          <w:rFonts w:ascii="Calibri" w:hAnsi="Calibri" w:cs="Calibri"/>
        </w:rPr>
        <w:t xml:space="preserve"> </w:t>
      </w:r>
      <w:r w:rsidR="006E685E" w:rsidRPr="00C954BE">
        <w:rPr>
          <w:rFonts w:ascii="Calibri" w:hAnsi="Calibri" w:cs="Calibri"/>
        </w:rPr>
        <w:t xml:space="preserve">advocacy to </w:t>
      </w:r>
      <w:r w:rsidR="00C0478B" w:rsidRPr="00C954BE">
        <w:rPr>
          <w:rFonts w:ascii="Calibri" w:hAnsi="Calibri" w:cs="Calibri"/>
        </w:rPr>
        <w:t xml:space="preserve">Congress to implement structural reforms to the Medicare payment system, including the establishment of an annual inflation adjustment for physicians.  </w:t>
      </w:r>
    </w:p>
    <w:p w14:paraId="4F9CE86D" w14:textId="027FEE8F" w:rsidR="002774B6" w:rsidRPr="00C954BE" w:rsidRDefault="002774B6" w:rsidP="002774B6">
      <w:pPr>
        <w:pStyle w:val="ListParagraph"/>
        <w:numPr>
          <w:ilvl w:val="0"/>
          <w:numId w:val="4"/>
        </w:numPr>
        <w:rPr>
          <w:rFonts w:ascii="Calibri" w:hAnsi="Calibri" w:cs="Calibri"/>
        </w:rPr>
      </w:pPr>
      <w:r w:rsidRPr="00C954BE">
        <w:rPr>
          <w:rFonts w:ascii="Calibri" w:hAnsi="Calibri" w:cs="Calibri"/>
        </w:rPr>
        <w:t>APMA’s work to fight downcoding, prevent misclassification of podiatrists, and protect Medicaid coverage</w:t>
      </w:r>
      <w:r w:rsidR="00522D22" w:rsidRPr="00C954BE">
        <w:rPr>
          <w:rFonts w:ascii="Calibri" w:hAnsi="Calibri" w:cs="Calibri"/>
        </w:rPr>
        <w:t xml:space="preserve"> and oppose student loan proposals</w:t>
      </w:r>
      <w:r w:rsidRPr="00C954BE">
        <w:rPr>
          <w:rFonts w:ascii="Calibri" w:hAnsi="Calibri" w:cs="Calibri"/>
        </w:rPr>
        <w:t xml:space="preserve"> following the </w:t>
      </w:r>
      <w:r w:rsidR="00F737C5" w:rsidRPr="00C954BE">
        <w:rPr>
          <w:rFonts w:ascii="Calibri" w:hAnsi="Calibri" w:cs="Calibri"/>
        </w:rPr>
        <w:t xml:space="preserve">passage of the </w:t>
      </w:r>
      <w:r w:rsidRPr="00C954BE">
        <w:rPr>
          <w:rFonts w:ascii="Calibri" w:hAnsi="Calibri" w:cs="Calibri"/>
        </w:rPr>
        <w:t>One Big Beautiful Bill Act</w:t>
      </w:r>
      <w:r w:rsidR="00F737C5" w:rsidRPr="00C954BE">
        <w:rPr>
          <w:rFonts w:ascii="Calibri" w:hAnsi="Calibri" w:cs="Calibri"/>
        </w:rPr>
        <w:t xml:space="preserve"> (OBBBA)</w:t>
      </w:r>
    </w:p>
    <w:p w14:paraId="518D7497" w14:textId="5C33A7E5" w:rsidR="002774B6" w:rsidRPr="00C954BE" w:rsidRDefault="002774B6" w:rsidP="002774B6">
      <w:pPr>
        <w:pStyle w:val="ListParagraph"/>
        <w:numPr>
          <w:ilvl w:val="0"/>
          <w:numId w:val="4"/>
        </w:numPr>
        <w:rPr>
          <w:rFonts w:ascii="Calibri" w:hAnsi="Calibri" w:cs="Calibri"/>
        </w:rPr>
      </w:pPr>
      <w:r w:rsidRPr="00C954BE">
        <w:rPr>
          <w:rFonts w:ascii="Calibri" w:hAnsi="Calibri" w:cs="Calibri"/>
        </w:rPr>
        <w:t xml:space="preserve">Coalition efforts to repeal or reform the </w:t>
      </w:r>
      <w:proofErr w:type="spellStart"/>
      <w:r w:rsidRPr="00C954BE">
        <w:rPr>
          <w:rFonts w:ascii="Calibri" w:hAnsi="Calibri" w:cs="Calibri"/>
        </w:rPr>
        <w:t>WISeR</w:t>
      </w:r>
      <w:proofErr w:type="spellEnd"/>
      <w:r w:rsidR="009F04D6" w:rsidRPr="00C954BE">
        <w:rPr>
          <w:rFonts w:ascii="Calibri" w:hAnsi="Calibri" w:cs="Calibri"/>
        </w:rPr>
        <w:t xml:space="preserve"> (Wasteful and Inappropriate Service Reduction)</w:t>
      </w:r>
      <w:r w:rsidRPr="00C954BE">
        <w:rPr>
          <w:rFonts w:ascii="Calibri" w:hAnsi="Calibri" w:cs="Calibri"/>
        </w:rPr>
        <w:t xml:space="preserve"> model</w:t>
      </w:r>
    </w:p>
    <w:p w14:paraId="4766643D" w14:textId="2F6742D2" w:rsidR="005D03E0" w:rsidRPr="00C954BE" w:rsidRDefault="002774B6" w:rsidP="005D03E0">
      <w:pPr>
        <w:pStyle w:val="ListParagraph"/>
        <w:numPr>
          <w:ilvl w:val="0"/>
          <w:numId w:val="4"/>
        </w:numPr>
        <w:rPr>
          <w:rFonts w:ascii="Calibri" w:hAnsi="Calibri" w:cs="Calibri"/>
        </w:rPr>
      </w:pPr>
      <w:r w:rsidRPr="00C954BE">
        <w:rPr>
          <w:rFonts w:ascii="Calibri" w:hAnsi="Calibri" w:cs="Calibri"/>
        </w:rPr>
        <w:t xml:space="preserve">Engagement with </w:t>
      </w:r>
      <w:r w:rsidR="0011023F" w:rsidRPr="00C954BE">
        <w:rPr>
          <w:rFonts w:ascii="Calibri" w:hAnsi="Calibri" w:cs="Calibri"/>
        </w:rPr>
        <w:t>durable medical equipment (</w:t>
      </w:r>
      <w:r w:rsidR="00DC2193" w:rsidRPr="00C954BE">
        <w:rPr>
          <w:rFonts w:ascii="Calibri" w:hAnsi="Calibri" w:cs="Calibri"/>
        </w:rPr>
        <w:t>DME</w:t>
      </w:r>
      <w:r w:rsidR="0011023F" w:rsidRPr="00C954BE">
        <w:rPr>
          <w:rFonts w:ascii="Calibri" w:hAnsi="Calibri" w:cs="Calibri"/>
        </w:rPr>
        <w:t>)</w:t>
      </w:r>
      <w:r w:rsidR="00DC2193" w:rsidRPr="00C954BE">
        <w:rPr>
          <w:rFonts w:ascii="Calibri" w:hAnsi="Calibri" w:cs="Calibri"/>
        </w:rPr>
        <w:t xml:space="preserve"> </w:t>
      </w:r>
      <w:r w:rsidR="007F11EA" w:rsidRPr="00C954BE">
        <w:rPr>
          <w:rFonts w:ascii="Calibri" w:hAnsi="Calibri" w:cs="Calibri"/>
        </w:rPr>
        <w:t>MACs</w:t>
      </w:r>
      <w:r w:rsidR="00C06509" w:rsidRPr="00C954BE">
        <w:rPr>
          <w:rFonts w:ascii="Calibri" w:hAnsi="Calibri" w:cs="Calibri"/>
        </w:rPr>
        <w:t xml:space="preserve"> and CMS</w:t>
      </w:r>
      <w:r w:rsidR="0011023F" w:rsidRPr="00C954BE">
        <w:rPr>
          <w:rFonts w:ascii="Calibri" w:hAnsi="Calibri" w:cs="Calibri"/>
        </w:rPr>
        <w:t xml:space="preserve"> on</w:t>
      </w:r>
      <w:r w:rsidR="00207A24" w:rsidRPr="00C954BE">
        <w:rPr>
          <w:rFonts w:ascii="Calibri" w:hAnsi="Calibri" w:cs="Calibri"/>
        </w:rPr>
        <w:t xml:space="preserve"> </w:t>
      </w:r>
      <w:r w:rsidRPr="00C954BE">
        <w:rPr>
          <w:rFonts w:ascii="Calibri" w:hAnsi="Calibri" w:cs="Calibri"/>
        </w:rPr>
        <w:t>therapeutic shoes</w:t>
      </w:r>
      <w:r w:rsidR="005D03E0" w:rsidRPr="00C954BE">
        <w:rPr>
          <w:rFonts w:ascii="Calibri" w:hAnsi="Calibri" w:cs="Calibri"/>
        </w:rPr>
        <w:t xml:space="preserve"> for patients with diabetes </w:t>
      </w:r>
      <w:r w:rsidR="00A84421" w:rsidRPr="00C954BE">
        <w:rPr>
          <w:rFonts w:ascii="Calibri" w:hAnsi="Calibri" w:cs="Calibri"/>
        </w:rPr>
        <w:t xml:space="preserve">and new legislative strategy </w:t>
      </w:r>
    </w:p>
    <w:p w14:paraId="2BF84B6C" w14:textId="3E88E2DB" w:rsidR="005723D9" w:rsidRPr="00C954BE" w:rsidRDefault="00E25EE3" w:rsidP="00BC3E97">
      <w:pPr>
        <w:ind w:left="360"/>
        <w:rPr>
          <w:rFonts w:ascii="Calibri" w:hAnsi="Calibri" w:cs="Calibri"/>
        </w:rPr>
      </w:pPr>
      <w:r w:rsidRPr="00C954BE">
        <w:rPr>
          <w:rFonts w:ascii="Calibri" w:hAnsi="Calibri" w:cs="Calibri"/>
        </w:rPr>
        <w:t>He also confirmed the group’s unanimous support for reaffirming Dr. Jodie Sengstock as CAC Chair for one more year.</w:t>
      </w:r>
      <w:r w:rsidR="00C954BE">
        <w:rPr>
          <w:rFonts w:ascii="Calibri" w:hAnsi="Calibri" w:cs="Calibri"/>
        </w:rPr>
        <w:br/>
      </w:r>
      <w:r w:rsidR="00C954BE">
        <w:rPr>
          <w:rFonts w:ascii="Calibri" w:hAnsi="Calibri" w:cs="Calibri"/>
        </w:rPr>
        <w:br/>
      </w:r>
      <w:r w:rsidR="00C954BE">
        <w:rPr>
          <w:rFonts w:ascii="Calibri" w:hAnsi="Calibri" w:cs="Calibri"/>
        </w:rPr>
        <w:br/>
      </w:r>
      <w:r w:rsidR="00C954BE">
        <w:rPr>
          <w:rFonts w:ascii="Calibri" w:hAnsi="Calibri" w:cs="Calibri"/>
        </w:rPr>
        <w:br/>
      </w:r>
    </w:p>
    <w:p w14:paraId="06D55DDA" w14:textId="11552030" w:rsidR="006C4CDF" w:rsidRPr="00C954BE" w:rsidRDefault="006C4CDF" w:rsidP="006C4CDF">
      <w:pPr>
        <w:pStyle w:val="ListParagraph"/>
        <w:numPr>
          <w:ilvl w:val="0"/>
          <w:numId w:val="9"/>
        </w:numPr>
        <w:rPr>
          <w:rFonts w:ascii="Calibri" w:hAnsi="Calibri" w:cs="Calibri"/>
          <w:b/>
          <w:bCs/>
        </w:rPr>
      </w:pPr>
      <w:r w:rsidRPr="00C954BE">
        <w:rPr>
          <w:rFonts w:ascii="Calibri" w:hAnsi="Calibri" w:cs="Calibri"/>
          <w:b/>
          <w:bCs/>
        </w:rPr>
        <w:lastRenderedPageBreak/>
        <w:t>Medicare Part B &amp;</w:t>
      </w:r>
      <w:r w:rsidR="006D15AD" w:rsidRPr="00C954BE">
        <w:rPr>
          <w:rFonts w:ascii="Calibri" w:hAnsi="Calibri" w:cs="Calibri"/>
          <w:b/>
          <w:bCs/>
        </w:rPr>
        <w:t xml:space="preserve"> DME</w:t>
      </w:r>
      <w:r w:rsidRPr="00C954BE">
        <w:rPr>
          <w:rFonts w:ascii="Calibri" w:hAnsi="Calibri" w:cs="Calibri"/>
          <w:b/>
          <w:bCs/>
        </w:rPr>
        <w:t xml:space="preserve"> Trends Reveal Significant Shifts</w:t>
      </w:r>
    </w:p>
    <w:p w14:paraId="19C0B52C" w14:textId="31FB9F34" w:rsidR="004C57CE" w:rsidRPr="00C954BE" w:rsidRDefault="004C57CE" w:rsidP="004C57CE">
      <w:pPr>
        <w:pStyle w:val="ListParagraph"/>
        <w:ind w:left="360"/>
        <w:rPr>
          <w:rFonts w:ascii="Calibri" w:hAnsi="Calibri" w:cs="Calibri"/>
        </w:rPr>
      </w:pPr>
      <w:r w:rsidRPr="00C954BE">
        <w:rPr>
          <w:rFonts w:ascii="Calibri" w:hAnsi="Calibri" w:cs="Calibri"/>
        </w:rPr>
        <w:t>Dr. David Freedman presented Medicare Part B data showing:</w:t>
      </w:r>
    </w:p>
    <w:p w14:paraId="188D3F99" w14:textId="3F5D5A54" w:rsidR="00B16ED9" w:rsidRPr="00C954BE" w:rsidRDefault="00CE74F5" w:rsidP="00B16ED9">
      <w:pPr>
        <w:pStyle w:val="ListParagraph"/>
        <w:numPr>
          <w:ilvl w:val="0"/>
          <w:numId w:val="5"/>
        </w:numPr>
        <w:rPr>
          <w:rFonts w:ascii="Calibri" w:hAnsi="Calibri" w:cs="Calibri"/>
        </w:rPr>
      </w:pPr>
      <w:r w:rsidRPr="00C954BE">
        <w:rPr>
          <w:rFonts w:ascii="Calibri" w:hAnsi="Calibri" w:cs="Calibri"/>
        </w:rPr>
        <w:t>Evaluation and Management (</w:t>
      </w:r>
      <w:r w:rsidR="00B16ED9" w:rsidRPr="00C954BE">
        <w:rPr>
          <w:rFonts w:ascii="Calibri" w:hAnsi="Calibri" w:cs="Calibri"/>
        </w:rPr>
        <w:t>E&amp;M</w:t>
      </w:r>
      <w:r w:rsidRPr="00C954BE">
        <w:rPr>
          <w:rFonts w:ascii="Calibri" w:hAnsi="Calibri" w:cs="Calibri"/>
        </w:rPr>
        <w:t>)</w:t>
      </w:r>
      <w:r w:rsidR="00B16ED9" w:rsidRPr="00C954BE">
        <w:rPr>
          <w:rFonts w:ascii="Calibri" w:hAnsi="Calibri" w:cs="Calibri"/>
        </w:rPr>
        <w:t xml:space="preserve"> </w:t>
      </w:r>
      <w:r w:rsidR="00B605EC" w:rsidRPr="00C954BE">
        <w:rPr>
          <w:rFonts w:ascii="Calibri" w:hAnsi="Calibri" w:cs="Calibri"/>
        </w:rPr>
        <w:t>services</w:t>
      </w:r>
      <w:r w:rsidR="00B16ED9" w:rsidRPr="00C954BE">
        <w:rPr>
          <w:rFonts w:ascii="Calibri" w:hAnsi="Calibri" w:cs="Calibri"/>
        </w:rPr>
        <w:t xml:space="preserve"> </w:t>
      </w:r>
      <w:r w:rsidR="00A43D15" w:rsidRPr="00C954BE">
        <w:rPr>
          <w:rFonts w:ascii="Calibri" w:hAnsi="Calibri" w:cs="Calibri"/>
        </w:rPr>
        <w:t>account for about half of Medicare spending, and Dr. Freedman showed that podiatry’s E&amp;M patterns still skew toward lower-level codes compared with other specialties, encouraging providers to bill the level that their documentation truly supports.</w:t>
      </w:r>
    </w:p>
    <w:p w14:paraId="51FF31B9" w14:textId="301F0A20" w:rsidR="00B16ED9" w:rsidRPr="00C954BE" w:rsidRDefault="00B16ED9" w:rsidP="00B16ED9">
      <w:pPr>
        <w:pStyle w:val="ListParagraph"/>
        <w:numPr>
          <w:ilvl w:val="0"/>
          <w:numId w:val="5"/>
        </w:numPr>
        <w:rPr>
          <w:rFonts w:ascii="Calibri" w:hAnsi="Calibri" w:cs="Calibri"/>
        </w:rPr>
      </w:pPr>
      <w:r w:rsidRPr="00C954BE">
        <w:rPr>
          <w:rFonts w:ascii="Calibri" w:hAnsi="Calibri" w:cs="Calibri"/>
        </w:rPr>
        <w:t>Podiatry’s share of Medicare Part B spending has grown to roughly $3 billion, reflecting both increased volume and expanded service mix.</w:t>
      </w:r>
    </w:p>
    <w:p w14:paraId="3EB76EDC" w14:textId="7AEDD4AF" w:rsidR="00B16ED9" w:rsidRPr="00C954BE" w:rsidRDefault="00B16ED9" w:rsidP="00B16ED9">
      <w:pPr>
        <w:pStyle w:val="ListParagraph"/>
        <w:numPr>
          <w:ilvl w:val="0"/>
          <w:numId w:val="5"/>
        </w:numPr>
        <w:rPr>
          <w:rFonts w:ascii="Calibri" w:hAnsi="Calibri" w:cs="Calibri"/>
        </w:rPr>
      </w:pPr>
      <w:r w:rsidRPr="00C954BE">
        <w:rPr>
          <w:rFonts w:ascii="Calibri" w:hAnsi="Calibri" w:cs="Calibri"/>
        </w:rPr>
        <w:t>Federal scrutiny is intensifying on high-cost services, including skin substitutes and the rising use of imaging for plantar fasciitis, signaling potential audit focus areas.</w:t>
      </w:r>
    </w:p>
    <w:p w14:paraId="013BF61B" w14:textId="04AF90F0" w:rsidR="00B16ED9" w:rsidRPr="00C954BE" w:rsidRDefault="00B16ED9" w:rsidP="00B16ED9">
      <w:pPr>
        <w:pStyle w:val="ListParagraph"/>
        <w:numPr>
          <w:ilvl w:val="0"/>
          <w:numId w:val="5"/>
        </w:numPr>
        <w:rPr>
          <w:rFonts w:ascii="Calibri" w:hAnsi="Calibri" w:cs="Calibri"/>
        </w:rPr>
      </w:pPr>
      <w:r w:rsidRPr="00C954BE">
        <w:rPr>
          <w:rFonts w:ascii="Calibri" w:hAnsi="Calibri" w:cs="Calibri"/>
        </w:rPr>
        <w:t>Amputation trends remain concerning, with foot amputations continuing to represent the majority of lower-extremity amputations despite declining diabetic shoe utilization over the past decade.</w:t>
      </w:r>
    </w:p>
    <w:p w14:paraId="7417EEE9" w14:textId="745D1F88" w:rsidR="003C3479" w:rsidRPr="00C954BE" w:rsidRDefault="00B16ED9" w:rsidP="00B16ED9">
      <w:pPr>
        <w:pStyle w:val="ListParagraph"/>
        <w:numPr>
          <w:ilvl w:val="0"/>
          <w:numId w:val="5"/>
        </w:numPr>
        <w:rPr>
          <w:rFonts w:ascii="Calibri" w:hAnsi="Calibri" w:cs="Calibri"/>
        </w:rPr>
      </w:pPr>
      <w:r w:rsidRPr="00C954BE">
        <w:rPr>
          <w:rFonts w:ascii="Calibri" w:hAnsi="Calibri" w:cs="Calibri"/>
        </w:rPr>
        <w:t>DME data show improper billing risks, including OIG findings of $22.7 million in inappropriate payments tied to inpatient stays, underscoring the importance of accurate place-of-service reporting.</w:t>
      </w:r>
    </w:p>
    <w:p w14:paraId="4235E939" w14:textId="3E2F3C02" w:rsidR="002774B6" w:rsidRPr="00C954BE" w:rsidRDefault="002774B6" w:rsidP="002774B6">
      <w:pPr>
        <w:pStyle w:val="ListParagraph"/>
        <w:ind w:left="1080"/>
        <w:rPr>
          <w:rFonts w:ascii="Calibri" w:hAnsi="Calibri" w:cs="Calibri"/>
        </w:rPr>
      </w:pPr>
    </w:p>
    <w:p w14:paraId="4F3C6AA7" w14:textId="2379EBF4" w:rsidR="00747768" w:rsidRPr="00C954BE" w:rsidRDefault="00747768" w:rsidP="002774B6">
      <w:pPr>
        <w:pStyle w:val="ListParagraph"/>
        <w:numPr>
          <w:ilvl w:val="0"/>
          <w:numId w:val="9"/>
        </w:numPr>
        <w:rPr>
          <w:rFonts w:ascii="Calibri" w:hAnsi="Calibri" w:cs="Calibri"/>
          <w:b/>
          <w:bCs/>
        </w:rPr>
      </w:pPr>
      <w:r w:rsidRPr="00C954BE">
        <w:rPr>
          <w:rFonts w:ascii="Calibri" w:hAnsi="Calibri" w:cs="Calibri"/>
          <w:b/>
          <w:bCs/>
        </w:rPr>
        <w:t>Skills Workshop: Turning Advocacy Into Action</w:t>
      </w:r>
    </w:p>
    <w:p w14:paraId="17CB669D" w14:textId="67973819" w:rsidR="4C4A9247" w:rsidRPr="00C954BE" w:rsidRDefault="49C6CA03" w:rsidP="2FC9ADB0">
      <w:pPr>
        <w:pStyle w:val="ListParagraph"/>
        <w:ind w:left="360"/>
        <w:rPr>
          <w:rFonts w:ascii="Calibri" w:hAnsi="Calibri" w:cs="Calibri"/>
        </w:rPr>
      </w:pPr>
      <w:r w:rsidRPr="00C954BE">
        <w:rPr>
          <w:rFonts w:ascii="Calibri" w:hAnsi="Calibri" w:cs="Calibri"/>
        </w:rPr>
        <w:t>Attendees spent significant time discussing real-world strategies for engaging with and building better relationships with medical directors in both public payer and private payer roles. Advice for succeeding in these roles also serves all podiatrists for ensuring compliance and awareness of coverage policies:</w:t>
      </w:r>
    </w:p>
    <w:p w14:paraId="1748DA06" w14:textId="388B98C4" w:rsidR="2450899E" w:rsidRPr="00C954BE" w:rsidRDefault="2450899E" w:rsidP="2450899E">
      <w:pPr>
        <w:pStyle w:val="ListParagraph"/>
        <w:ind w:left="360"/>
        <w:rPr>
          <w:rFonts w:ascii="Calibri" w:hAnsi="Calibri" w:cs="Calibri"/>
        </w:rPr>
      </w:pPr>
    </w:p>
    <w:p w14:paraId="0AD75D1A" w14:textId="2AA64AB7" w:rsidR="00837955" w:rsidRPr="00C954BE" w:rsidRDefault="00837955" w:rsidP="00837955">
      <w:pPr>
        <w:pStyle w:val="ListParagraph"/>
        <w:numPr>
          <w:ilvl w:val="0"/>
          <w:numId w:val="6"/>
        </w:numPr>
        <w:rPr>
          <w:rFonts w:ascii="Calibri" w:hAnsi="Calibri" w:cs="Calibri"/>
        </w:rPr>
      </w:pPr>
      <w:r w:rsidRPr="00C954BE">
        <w:rPr>
          <w:rFonts w:ascii="Calibri" w:hAnsi="Calibri" w:cs="Calibri"/>
        </w:rPr>
        <w:t>Monitor your MAC proactively</w:t>
      </w:r>
      <w:r w:rsidR="0438EDF1" w:rsidRPr="00C954BE">
        <w:rPr>
          <w:rFonts w:ascii="Calibri" w:hAnsi="Calibri" w:cs="Calibri"/>
        </w:rPr>
        <w:t xml:space="preserve"> for changes to local coverage determinations for your services</w:t>
      </w:r>
    </w:p>
    <w:p w14:paraId="11114819" w14:textId="6BD8597D" w:rsidR="4396963F" w:rsidRPr="00C954BE" w:rsidRDefault="73F5D4C3" w:rsidP="4396963F">
      <w:pPr>
        <w:pStyle w:val="ListParagraph"/>
        <w:numPr>
          <w:ilvl w:val="0"/>
          <w:numId w:val="6"/>
        </w:numPr>
        <w:rPr>
          <w:rFonts w:ascii="Calibri" w:hAnsi="Calibri" w:cs="Calibri"/>
        </w:rPr>
      </w:pPr>
      <w:r w:rsidRPr="00C954BE">
        <w:rPr>
          <w:rFonts w:ascii="Calibri" w:hAnsi="Calibri" w:cs="Calibri"/>
        </w:rPr>
        <w:t>Sign up for newsletters for your contracted plan networks for private payers and the MAC and DME MAC for public payer issues</w:t>
      </w:r>
    </w:p>
    <w:p w14:paraId="4B29CF56" w14:textId="0C146523" w:rsidR="73F5D4C3" w:rsidRPr="00C954BE" w:rsidRDefault="73F5D4C3" w:rsidP="3B0CE3F1">
      <w:pPr>
        <w:pStyle w:val="ListParagraph"/>
        <w:numPr>
          <w:ilvl w:val="0"/>
          <w:numId w:val="6"/>
        </w:numPr>
        <w:rPr>
          <w:rFonts w:ascii="Calibri" w:hAnsi="Calibri" w:cs="Calibri"/>
        </w:rPr>
      </w:pPr>
      <w:r w:rsidRPr="00C954BE">
        <w:rPr>
          <w:rFonts w:ascii="Calibri" w:hAnsi="Calibri" w:cs="Calibri"/>
        </w:rPr>
        <w:t>See something, say something – communicate with your state and CAC/PIAC representative as appropriate when you encounter an inappropriate denial or coverage policy</w:t>
      </w:r>
    </w:p>
    <w:p w14:paraId="2C0BC854" w14:textId="77777777" w:rsidR="00747768" w:rsidRPr="00747768" w:rsidRDefault="00747768" w:rsidP="00747768">
      <w:pPr>
        <w:rPr>
          <w:sz w:val="22"/>
          <w:szCs w:val="22"/>
        </w:rPr>
      </w:pPr>
    </w:p>
    <w:p w14:paraId="5429D038" w14:textId="77777777" w:rsidR="00691DED" w:rsidRDefault="00691DED" w:rsidP="00691DED"/>
    <w:p w14:paraId="13BBB91B" w14:textId="77777777" w:rsidR="00691DED" w:rsidRDefault="00691DED" w:rsidP="00691DED"/>
    <w:sectPr w:rsidR="00691DED" w:rsidSect="00C954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6C55"/>
    <w:multiLevelType w:val="hybridMultilevel"/>
    <w:tmpl w:val="B0065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A72218"/>
    <w:multiLevelType w:val="hybridMultilevel"/>
    <w:tmpl w:val="37F06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842806"/>
    <w:multiLevelType w:val="hybridMultilevel"/>
    <w:tmpl w:val="7296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922E0"/>
    <w:multiLevelType w:val="hybridMultilevel"/>
    <w:tmpl w:val="7B3E8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860BD2"/>
    <w:multiLevelType w:val="hybridMultilevel"/>
    <w:tmpl w:val="5E5ED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7F1BA1"/>
    <w:multiLevelType w:val="hybridMultilevel"/>
    <w:tmpl w:val="3A1A4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215795"/>
    <w:multiLevelType w:val="hybridMultilevel"/>
    <w:tmpl w:val="50843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9C381E"/>
    <w:multiLevelType w:val="hybridMultilevel"/>
    <w:tmpl w:val="37EA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025CDB"/>
    <w:multiLevelType w:val="hybridMultilevel"/>
    <w:tmpl w:val="19B8F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CC6B83"/>
    <w:multiLevelType w:val="hybridMultilevel"/>
    <w:tmpl w:val="7DE66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E75708"/>
    <w:multiLevelType w:val="hybridMultilevel"/>
    <w:tmpl w:val="4BC41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BF2ACB"/>
    <w:multiLevelType w:val="hybridMultilevel"/>
    <w:tmpl w:val="E20CA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EE6676"/>
    <w:multiLevelType w:val="hybridMultilevel"/>
    <w:tmpl w:val="7626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5687B"/>
    <w:multiLevelType w:val="multilevel"/>
    <w:tmpl w:val="1F6A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61300"/>
    <w:multiLevelType w:val="hybridMultilevel"/>
    <w:tmpl w:val="18A27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2420704">
    <w:abstractNumId w:val="0"/>
  </w:num>
  <w:num w:numId="2" w16cid:durableId="1292439430">
    <w:abstractNumId w:val="6"/>
  </w:num>
  <w:num w:numId="3" w16cid:durableId="1695879953">
    <w:abstractNumId w:val="2"/>
  </w:num>
  <w:num w:numId="4" w16cid:durableId="1779641248">
    <w:abstractNumId w:val="8"/>
  </w:num>
  <w:num w:numId="5" w16cid:durableId="1839298446">
    <w:abstractNumId w:val="10"/>
  </w:num>
  <w:num w:numId="6" w16cid:durableId="1915162560">
    <w:abstractNumId w:val="14"/>
  </w:num>
  <w:num w:numId="7" w16cid:durableId="327948648">
    <w:abstractNumId w:val="11"/>
  </w:num>
  <w:num w:numId="8" w16cid:durableId="361396857">
    <w:abstractNumId w:val="5"/>
  </w:num>
  <w:num w:numId="9" w16cid:durableId="393551677">
    <w:abstractNumId w:val="1"/>
  </w:num>
  <w:num w:numId="10" w16cid:durableId="505746964">
    <w:abstractNumId w:val="4"/>
  </w:num>
  <w:num w:numId="11" w16cid:durableId="545526242">
    <w:abstractNumId w:val="7"/>
  </w:num>
  <w:num w:numId="12" w16cid:durableId="562955338">
    <w:abstractNumId w:val="3"/>
  </w:num>
  <w:num w:numId="13" w16cid:durableId="808934584">
    <w:abstractNumId w:val="12"/>
  </w:num>
  <w:num w:numId="14" w16cid:durableId="91047488">
    <w:abstractNumId w:val="9"/>
  </w:num>
  <w:num w:numId="15" w16cid:durableId="204008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EC"/>
    <w:rsid w:val="000178A9"/>
    <w:rsid w:val="0002080D"/>
    <w:rsid w:val="00026433"/>
    <w:rsid w:val="000535BF"/>
    <w:rsid w:val="00063754"/>
    <w:rsid w:val="000818E8"/>
    <w:rsid w:val="00087DA2"/>
    <w:rsid w:val="000B4DA4"/>
    <w:rsid w:val="000D04D0"/>
    <w:rsid w:val="000D44D8"/>
    <w:rsid w:val="000D4569"/>
    <w:rsid w:val="000D79E6"/>
    <w:rsid w:val="000F3FF7"/>
    <w:rsid w:val="000F57B4"/>
    <w:rsid w:val="0011023F"/>
    <w:rsid w:val="001278DE"/>
    <w:rsid w:val="001507F6"/>
    <w:rsid w:val="00150EE5"/>
    <w:rsid w:val="001A019F"/>
    <w:rsid w:val="001B1FA3"/>
    <w:rsid w:val="001C1095"/>
    <w:rsid w:val="001C7495"/>
    <w:rsid w:val="001D5853"/>
    <w:rsid w:val="001E2323"/>
    <w:rsid w:val="001F13BE"/>
    <w:rsid w:val="001F776A"/>
    <w:rsid w:val="002059F7"/>
    <w:rsid w:val="00206EA7"/>
    <w:rsid w:val="00207A24"/>
    <w:rsid w:val="00232793"/>
    <w:rsid w:val="00233171"/>
    <w:rsid w:val="002719D3"/>
    <w:rsid w:val="0027701E"/>
    <w:rsid w:val="002774B6"/>
    <w:rsid w:val="00280560"/>
    <w:rsid w:val="0028628C"/>
    <w:rsid w:val="0029282D"/>
    <w:rsid w:val="00295A0E"/>
    <w:rsid w:val="002A03B2"/>
    <w:rsid w:val="002A3487"/>
    <w:rsid w:val="002C2923"/>
    <w:rsid w:val="002D2260"/>
    <w:rsid w:val="002D6766"/>
    <w:rsid w:val="002E5631"/>
    <w:rsid w:val="002E76A0"/>
    <w:rsid w:val="002F6CD4"/>
    <w:rsid w:val="00327B41"/>
    <w:rsid w:val="00337C98"/>
    <w:rsid w:val="00364088"/>
    <w:rsid w:val="00371A79"/>
    <w:rsid w:val="00371C6B"/>
    <w:rsid w:val="00381F5B"/>
    <w:rsid w:val="0038305F"/>
    <w:rsid w:val="00383A72"/>
    <w:rsid w:val="003A7E75"/>
    <w:rsid w:val="003C28C1"/>
    <w:rsid w:val="003C3479"/>
    <w:rsid w:val="003D3571"/>
    <w:rsid w:val="003E07DE"/>
    <w:rsid w:val="003E6ADA"/>
    <w:rsid w:val="00427774"/>
    <w:rsid w:val="0043758A"/>
    <w:rsid w:val="00451A21"/>
    <w:rsid w:val="004677CB"/>
    <w:rsid w:val="004736BE"/>
    <w:rsid w:val="00476773"/>
    <w:rsid w:val="00482ED6"/>
    <w:rsid w:val="004839A6"/>
    <w:rsid w:val="004926FE"/>
    <w:rsid w:val="004A6769"/>
    <w:rsid w:val="004C57CE"/>
    <w:rsid w:val="004D6A23"/>
    <w:rsid w:val="00511A38"/>
    <w:rsid w:val="00522D22"/>
    <w:rsid w:val="0052660A"/>
    <w:rsid w:val="00536984"/>
    <w:rsid w:val="00542F59"/>
    <w:rsid w:val="005506E7"/>
    <w:rsid w:val="005551B7"/>
    <w:rsid w:val="00571576"/>
    <w:rsid w:val="005723D9"/>
    <w:rsid w:val="00582BBC"/>
    <w:rsid w:val="005916C3"/>
    <w:rsid w:val="0059637E"/>
    <w:rsid w:val="005A4979"/>
    <w:rsid w:val="005B767A"/>
    <w:rsid w:val="005D03E0"/>
    <w:rsid w:val="005D2E53"/>
    <w:rsid w:val="005D703B"/>
    <w:rsid w:val="005E0CDD"/>
    <w:rsid w:val="00602A26"/>
    <w:rsid w:val="0060438A"/>
    <w:rsid w:val="0061406D"/>
    <w:rsid w:val="00627955"/>
    <w:rsid w:val="00630912"/>
    <w:rsid w:val="00644989"/>
    <w:rsid w:val="00650990"/>
    <w:rsid w:val="00651E00"/>
    <w:rsid w:val="00656741"/>
    <w:rsid w:val="00665A3C"/>
    <w:rsid w:val="00667FAD"/>
    <w:rsid w:val="00677F37"/>
    <w:rsid w:val="00684A2D"/>
    <w:rsid w:val="00691DED"/>
    <w:rsid w:val="006A0B9A"/>
    <w:rsid w:val="006A5330"/>
    <w:rsid w:val="006C4CDF"/>
    <w:rsid w:val="006D15AD"/>
    <w:rsid w:val="006E2E57"/>
    <w:rsid w:val="006E31FB"/>
    <w:rsid w:val="006E685E"/>
    <w:rsid w:val="006F1E16"/>
    <w:rsid w:val="00707D5F"/>
    <w:rsid w:val="00715F70"/>
    <w:rsid w:val="0071638F"/>
    <w:rsid w:val="00723EF7"/>
    <w:rsid w:val="00735983"/>
    <w:rsid w:val="00747768"/>
    <w:rsid w:val="00780211"/>
    <w:rsid w:val="007A04C9"/>
    <w:rsid w:val="007A59A2"/>
    <w:rsid w:val="007C22F2"/>
    <w:rsid w:val="007D0F70"/>
    <w:rsid w:val="007F11EA"/>
    <w:rsid w:val="007F4D5F"/>
    <w:rsid w:val="007F7ABD"/>
    <w:rsid w:val="008068AF"/>
    <w:rsid w:val="00813096"/>
    <w:rsid w:val="008257F4"/>
    <w:rsid w:val="00837955"/>
    <w:rsid w:val="00846B32"/>
    <w:rsid w:val="00863D4B"/>
    <w:rsid w:val="008777D1"/>
    <w:rsid w:val="0089446D"/>
    <w:rsid w:val="0089643D"/>
    <w:rsid w:val="008B2B11"/>
    <w:rsid w:val="008B6DC3"/>
    <w:rsid w:val="008C702E"/>
    <w:rsid w:val="008D4A8A"/>
    <w:rsid w:val="008E286B"/>
    <w:rsid w:val="008F0FC6"/>
    <w:rsid w:val="00911485"/>
    <w:rsid w:val="00912F4E"/>
    <w:rsid w:val="0094233A"/>
    <w:rsid w:val="009619BD"/>
    <w:rsid w:val="00972C32"/>
    <w:rsid w:val="00985B3F"/>
    <w:rsid w:val="009A3B15"/>
    <w:rsid w:val="009B12E3"/>
    <w:rsid w:val="009D24F2"/>
    <w:rsid w:val="009D28F2"/>
    <w:rsid w:val="009E4D60"/>
    <w:rsid w:val="009E6106"/>
    <w:rsid w:val="009F04D6"/>
    <w:rsid w:val="009F17F5"/>
    <w:rsid w:val="009F3215"/>
    <w:rsid w:val="009F5132"/>
    <w:rsid w:val="009F57C6"/>
    <w:rsid w:val="00A04CA2"/>
    <w:rsid w:val="00A10660"/>
    <w:rsid w:val="00A179D3"/>
    <w:rsid w:val="00A245C1"/>
    <w:rsid w:val="00A42F2A"/>
    <w:rsid w:val="00A43D15"/>
    <w:rsid w:val="00A82A3D"/>
    <w:rsid w:val="00A84421"/>
    <w:rsid w:val="00AA36D3"/>
    <w:rsid w:val="00AA3D4E"/>
    <w:rsid w:val="00AB1026"/>
    <w:rsid w:val="00AD26C3"/>
    <w:rsid w:val="00AE1E91"/>
    <w:rsid w:val="00AE24AE"/>
    <w:rsid w:val="00AE7374"/>
    <w:rsid w:val="00AF262A"/>
    <w:rsid w:val="00AF7B7E"/>
    <w:rsid w:val="00B00F7B"/>
    <w:rsid w:val="00B052E1"/>
    <w:rsid w:val="00B16ED9"/>
    <w:rsid w:val="00B24673"/>
    <w:rsid w:val="00B24E0B"/>
    <w:rsid w:val="00B605EC"/>
    <w:rsid w:val="00B628A8"/>
    <w:rsid w:val="00B76D63"/>
    <w:rsid w:val="00B81D13"/>
    <w:rsid w:val="00B937E0"/>
    <w:rsid w:val="00B94140"/>
    <w:rsid w:val="00B953B2"/>
    <w:rsid w:val="00BC3E97"/>
    <w:rsid w:val="00BC4E32"/>
    <w:rsid w:val="00BE1AC0"/>
    <w:rsid w:val="00BF7A5C"/>
    <w:rsid w:val="00C0478B"/>
    <w:rsid w:val="00C06509"/>
    <w:rsid w:val="00C31A4A"/>
    <w:rsid w:val="00C379D8"/>
    <w:rsid w:val="00C40F50"/>
    <w:rsid w:val="00C424C4"/>
    <w:rsid w:val="00C576D9"/>
    <w:rsid w:val="00C61AF1"/>
    <w:rsid w:val="00C65E0C"/>
    <w:rsid w:val="00C67262"/>
    <w:rsid w:val="00C71F38"/>
    <w:rsid w:val="00C7555D"/>
    <w:rsid w:val="00C954BE"/>
    <w:rsid w:val="00CE3C7F"/>
    <w:rsid w:val="00CE74F5"/>
    <w:rsid w:val="00CF1668"/>
    <w:rsid w:val="00CF190C"/>
    <w:rsid w:val="00CF3DBE"/>
    <w:rsid w:val="00CF5F60"/>
    <w:rsid w:val="00D12513"/>
    <w:rsid w:val="00D20649"/>
    <w:rsid w:val="00D26F86"/>
    <w:rsid w:val="00D27392"/>
    <w:rsid w:val="00D278D8"/>
    <w:rsid w:val="00D4743E"/>
    <w:rsid w:val="00D5457C"/>
    <w:rsid w:val="00D66515"/>
    <w:rsid w:val="00D82DDC"/>
    <w:rsid w:val="00DB4228"/>
    <w:rsid w:val="00DB4D10"/>
    <w:rsid w:val="00DC2193"/>
    <w:rsid w:val="00DC313D"/>
    <w:rsid w:val="00DE21D3"/>
    <w:rsid w:val="00DE4D05"/>
    <w:rsid w:val="00DF6DEC"/>
    <w:rsid w:val="00E25EE3"/>
    <w:rsid w:val="00E50109"/>
    <w:rsid w:val="00E604DA"/>
    <w:rsid w:val="00E612BF"/>
    <w:rsid w:val="00E63C64"/>
    <w:rsid w:val="00E977FE"/>
    <w:rsid w:val="00EA2CA5"/>
    <w:rsid w:val="00EA6C7D"/>
    <w:rsid w:val="00EB337E"/>
    <w:rsid w:val="00EB3F28"/>
    <w:rsid w:val="00EC0B02"/>
    <w:rsid w:val="00EE3230"/>
    <w:rsid w:val="00EE3E85"/>
    <w:rsid w:val="00EF1CA1"/>
    <w:rsid w:val="00F17928"/>
    <w:rsid w:val="00F256CB"/>
    <w:rsid w:val="00F41CB4"/>
    <w:rsid w:val="00F50E9F"/>
    <w:rsid w:val="00F61A0F"/>
    <w:rsid w:val="00F70A58"/>
    <w:rsid w:val="00F737C5"/>
    <w:rsid w:val="00F82E18"/>
    <w:rsid w:val="00F84C3F"/>
    <w:rsid w:val="00FB27CF"/>
    <w:rsid w:val="00FE132B"/>
    <w:rsid w:val="00FF2EEA"/>
    <w:rsid w:val="00FF75FB"/>
    <w:rsid w:val="032BF3C1"/>
    <w:rsid w:val="04103E64"/>
    <w:rsid w:val="0438EDF1"/>
    <w:rsid w:val="04ABCF05"/>
    <w:rsid w:val="05A10EBB"/>
    <w:rsid w:val="063B95AC"/>
    <w:rsid w:val="077BEDAD"/>
    <w:rsid w:val="09067C8F"/>
    <w:rsid w:val="0A0994C6"/>
    <w:rsid w:val="0A6AC6DF"/>
    <w:rsid w:val="0B49CAAA"/>
    <w:rsid w:val="0BDF67AA"/>
    <w:rsid w:val="0C605D61"/>
    <w:rsid w:val="0D38A9D7"/>
    <w:rsid w:val="0D3D1358"/>
    <w:rsid w:val="0D5D7BC9"/>
    <w:rsid w:val="0D7C275E"/>
    <w:rsid w:val="0EFFE8D8"/>
    <w:rsid w:val="103C97F2"/>
    <w:rsid w:val="11BB059F"/>
    <w:rsid w:val="1319285D"/>
    <w:rsid w:val="14CAD03D"/>
    <w:rsid w:val="15795B03"/>
    <w:rsid w:val="1647F56F"/>
    <w:rsid w:val="17560A42"/>
    <w:rsid w:val="18B0DDAB"/>
    <w:rsid w:val="1A228826"/>
    <w:rsid w:val="1A76F3D5"/>
    <w:rsid w:val="1B06EFF6"/>
    <w:rsid w:val="1B19457D"/>
    <w:rsid w:val="1C4EEE2E"/>
    <w:rsid w:val="1C60392B"/>
    <w:rsid w:val="1DF8037C"/>
    <w:rsid w:val="1EC05A73"/>
    <w:rsid w:val="1F9628AB"/>
    <w:rsid w:val="201A9854"/>
    <w:rsid w:val="2066EF2F"/>
    <w:rsid w:val="23DD5796"/>
    <w:rsid w:val="24139A08"/>
    <w:rsid w:val="2450899E"/>
    <w:rsid w:val="246130DD"/>
    <w:rsid w:val="257E97B6"/>
    <w:rsid w:val="268DA68C"/>
    <w:rsid w:val="275FE1AD"/>
    <w:rsid w:val="27C137C3"/>
    <w:rsid w:val="2869C9A3"/>
    <w:rsid w:val="2988BFC9"/>
    <w:rsid w:val="2B8904B4"/>
    <w:rsid w:val="2CF2AE0B"/>
    <w:rsid w:val="2D27FD64"/>
    <w:rsid w:val="2D53E27C"/>
    <w:rsid w:val="2DD8C9F4"/>
    <w:rsid w:val="2F3B289D"/>
    <w:rsid w:val="2FC9ADB0"/>
    <w:rsid w:val="305ACAC6"/>
    <w:rsid w:val="30BF371F"/>
    <w:rsid w:val="31315F8F"/>
    <w:rsid w:val="337D08BF"/>
    <w:rsid w:val="34F675E8"/>
    <w:rsid w:val="366A4292"/>
    <w:rsid w:val="36F6FAEC"/>
    <w:rsid w:val="37AD901A"/>
    <w:rsid w:val="3B0CE3F1"/>
    <w:rsid w:val="3B3D56D6"/>
    <w:rsid w:val="3E600694"/>
    <w:rsid w:val="3ED03557"/>
    <w:rsid w:val="3FC49BFB"/>
    <w:rsid w:val="4026E9A5"/>
    <w:rsid w:val="410638FF"/>
    <w:rsid w:val="41AD7763"/>
    <w:rsid w:val="42D6802E"/>
    <w:rsid w:val="4377A7E6"/>
    <w:rsid w:val="43956B93"/>
    <w:rsid w:val="4396963F"/>
    <w:rsid w:val="4647537C"/>
    <w:rsid w:val="47A5E073"/>
    <w:rsid w:val="486D9E0D"/>
    <w:rsid w:val="48F2A22B"/>
    <w:rsid w:val="497A60F9"/>
    <w:rsid w:val="49C6CA03"/>
    <w:rsid w:val="4B63555E"/>
    <w:rsid w:val="4B763642"/>
    <w:rsid w:val="4C4A9247"/>
    <w:rsid w:val="4CDE3DEB"/>
    <w:rsid w:val="4F8D63AB"/>
    <w:rsid w:val="4FE65964"/>
    <w:rsid w:val="516C9955"/>
    <w:rsid w:val="55F68BA4"/>
    <w:rsid w:val="56BC87C5"/>
    <w:rsid w:val="5C5689A5"/>
    <w:rsid w:val="5F297248"/>
    <w:rsid w:val="6029328E"/>
    <w:rsid w:val="63AF3042"/>
    <w:rsid w:val="65861F4F"/>
    <w:rsid w:val="6639ACCB"/>
    <w:rsid w:val="66425B43"/>
    <w:rsid w:val="67163345"/>
    <w:rsid w:val="673EF0EC"/>
    <w:rsid w:val="6AFB98BA"/>
    <w:rsid w:val="6B37F3F9"/>
    <w:rsid w:val="6CDA8290"/>
    <w:rsid w:val="6F3022B0"/>
    <w:rsid w:val="70100939"/>
    <w:rsid w:val="70B90B9E"/>
    <w:rsid w:val="70BC31A6"/>
    <w:rsid w:val="719A4CB2"/>
    <w:rsid w:val="71A52A27"/>
    <w:rsid w:val="73F5D4C3"/>
    <w:rsid w:val="746F859A"/>
    <w:rsid w:val="75D868A2"/>
    <w:rsid w:val="7762FA19"/>
    <w:rsid w:val="7C833E33"/>
    <w:rsid w:val="7DA0C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EFD4"/>
  <w15:chartTrackingRefBased/>
  <w15:docId w15:val="{43092053-E2A6-4CC3-B75E-64145A43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DEC"/>
    <w:rPr>
      <w:rFonts w:eastAsiaTheme="majorEastAsia" w:cstheme="majorBidi"/>
      <w:color w:val="272727" w:themeColor="text1" w:themeTint="D8"/>
    </w:rPr>
  </w:style>
  <w:style w:type="paragraph" w:styleId="Title">
    <w:name w:val="Title"/>
    <w:basedOn w:val="Normal"/>
    <w:next w:val="Normal"/>
    <w:link w:val="TitleChar"/>
    <w:uiPriority w:val="10"/>
    <w:qFormat/>
    <w:rsid w:val="00DF6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DEC"/>
    <w:pPr>
      <w:spacing w:before="160"/>
      <w:jc w:val="center"/>
    </w:pPr>
    <w:rPr>
      <w:i/>
      <w:iCs/>
      <w:color w:val="404040" w:themeColor="text1" w:themeTint="BF"/>
    </w:rPr>
  </w:style>
  <w:style w:type="character" w:customStyle="1" w:styleId="QuoteChar">
    <w:name w:val="Quote Char"/>
    <w:basedOn w:val="DefaultParagraphFont"/>
    <w:link w:val="Quote"/>
    <w:uiPriority w:val="29"/>
    <w:rsid w:val="00DF6DEC"/>
    <w:rPr>
      <w:i/>
      <w:iCs/>
      <w:color w:val="404040" w:themeColor="text1" w:themeTint="BF"/>
    </w:rPr>
  </w:style>
  <w:style w:type="paragraph" w:styleId="ListParagraph">
    <w:name w:val="List Paragraph"/>
    <w:basedOn w:val="Normal"/>
    <w:uiPriority w:val="34"/>
    <w:qFormat/>
    <w:rsid w:val="00DF6DEC"/>
    <w:pPr>
      <w:ind w:left="720"/>
      <w:contextualSpacing/>
    </w:pPr>
  </w:style>
  <w:style w:type="character" w:styleId="IntenseEmphasis">
    <w:name w:val="Intense Emphasis"/>
    <w:basedOn w:val="DefaultParagraphFont"/>
    <w:uiPriority w:val="21"/>
    <w:qFormat/>
    <w:rsid w:val="00DF6DEC"/>
    <w:rPr>
      <w:i/>
      <w:iCs/>
      <w:color w:val="0F4761" w:themeColor="accent1" w:themeShade="BF"/>
    </w:rPr>
  </w:style>
  <w:style w:type="paragraph" w:styleId="IntenseQuote">
    <w:name w:val="Intense Quote"/>
    <w:basedOn w:val="Normal"/>
    <w:next w:val="Normal"/>
    <w:link w:val="IntenseQuoteChar"/>
    <w:uiPriority w:val="30"/>
    <w:qFormat/>
    <w:rsid w:val="00DF6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DEC"/>
    <w:rPr>
      <w:i/>
      <w:iCs/>
      <w:color w:val="0F4761" w:themeColor="accent1" w:themeShade="BF"/>
    </w:rPr>
  </w:style>
  <w:style w:type="character" w:styleId="IntenseReference">
    <w:name w:val="Intense Reference"/>
    <w:basedOn w:val="DefaultParagraphFont"/>
    <w:uiPriority w:val="32"/>
    <w:qFormat/>
    <w:rsid w:val="00DF6DEC"/>
    <w:rPr>
      <w:b/>
      <w:bCs/>
      <w:smallCaps/>
      <w:color w:val="0F4761" w:themeColor="accent1" w:themeShade="BF"/>
      <w:spacing w:val="5"/>
    </w:rPr>
  </w:style>
  <w:style w:type="paragraph" w:styleId="NormalWeb">
    <w:name w:val="Normal (Web)"/>
    <w:basedOn w:val="Normal"/>
    <w:uiPriority w:val="99"/>
    <w:semiHidden/>
    <w:unhideWhenUsed/>
    <w:rsid w:val="00AE1E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63C64"/>
    <w:rPr>
      <w:color w:val="467886" w:themeColor="hyperlink"/>
      <w:u w:val="single"/>
    </w:rPr>
  </w:style>
  <w:style w:type="character" w:styleId="UnresolvedMention">
    <w:name w:val="Unresolved Mention"/>
    <w:basedOn w:val="DefaultParagraphFont"/>
    <w:uiPriority w:val="99"/>
    <w:semiHidden/>
    <w:unhideWhenUsed/>
    <w:rsid w:val="00E63C64"/>
    <w:rPr>
      <w:color w:val="605E5C"/>
      <w:shd w:val="clear" w:color="auto" w:fill="E1DFDD"/>
    </w:rPr>
  </w:style>
  <w:style w:type="paragraph" w:styleId="CommentText">
    <w:name w:val="annotation text"/>
    <w:basedOn w:val="Normal"/>
    <w:link w:val="CommentTextChar"/>
    <w:uiPriority w:val="99"/>
    <w:unhideWhenUsed/>
    <w:rsid w:val="006E2E57"/>
    <w:pPr>
      <w:spacing w:line="240" w:lineRule="auto"/>
    </w:pPr>
    <w:rPr>
      <w:sz w:val="20"/>
      <w:szCs w:val="20"/>
    </w:rPr>
  </w:style>
  <w:style w:type="character" w:customStyle="1" w:styleId="CommentTextChar">
    <w:name w:val="Comment Text Char"/>
    <w:basedOn w:val="DefaultParagraphFont"/>
    <w:link w:val="CommentText"/>
    <w:uiPriority w:val="99"/>
    <w:rsid w:val="006E2E57"/>
    <w:rPr>
      <w:sz w:val="20"/>
      <w:szCs w:val="20"/>
    </w:rPr>
  </w:style>
  <w:style w:type="character" w:styleId="CommentReference">
    <w:name w:val="annotation reference"/>
    <w:basedOn w:val="DefaultParagraphFont"/>
    <w:uiPriority w:val="99"/>
    <w:semiHidden/>
    <w:unhideWhenUsed/>
    <w:rsid w:val="006E2E57"/>
    <w:rPr>
      <w:sz w:val="16"/>
      <w:szCs w:val="16"/>
    </w:rPr>
  </w:style>
  <w:style w:type="paragraph" w:styleId="CommentSubject">
    <w:name w:val="annotation subject"/>
    <w:basedOn w:val="CommentText"/>
    <w:next w:val="CommentText"/>
    <w:link w:val="CommentSubjectChar"/>
    <w:uiPriority w:val="99"/>
    <w:semiHidden/>
    <w:unhideWhenUsed/>
    <w:rsid w:val="00476773"/>
    <w:rPr>
      <w:b/>
      <w:bCs/>
    </w:rPr>
  </w:style>
  <w:style w:type="character" w:customStyle="1" w:styleId="CommentSubjectChar">
    <w:name w:val="Comment Subject Char"/>
    <w:basedOn w:val="CommentTextChar"/>
    <w:link w:val="CommentSubject"/>
    <w:uiPriority w:val="99"/>
    <w:semiHidden/>
    <w:rsid w:val="00476773"/>
    <w:rPr>
      <w:b/>
      <w:bCs/>
      <w:sz w:val="20"/>
      <w:szCs w:val="20"/>
    </w:rPr>
  </w:style>
  <w:style w:type="paragraph" w:styleId="Revision">
    <w:name w:val="Revision"/>
    <w:hidden/>
    <w:uiPriority w:val="99"/>
    <w:semiHidden/>
    <w:rsid w:val="00911485"/>
    <w:pPr>
      <w:spacing w:after="0" w:line="240" w:lineRule="auto"/>
    </w:pPr>
  </w:style>
  <w:style w:type="character" w:styleId="FollowedHyperlink">
    <w:name w:val="FollowedHyperlink"/>
    <w:basedOn w:val="DefaultParagraphFont"/>
    <w:uiPriority w:val="99"/>
    <w:semiHidden/>
    <w:unhideWhenUsed/>
    <w:rsid w:val="00511A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a.org/CACPIAC2025" TargetMode="External"/><Relationship Id="rId13" Type="http://schemas.openxmlformats.org/officeDocument/2006/relationships/hyperlink" Target="https://www.apma.org/apmamain/assets/File/members/practice-mgmt/reimbursement/medicare/APMA%20WISeR%20II.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youtube.com/watch?v=cSiShX_4nYA&amp;feature=youtu.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ma.org/apmamain/assets/File/members/practice-mgmt/reimbursement/medicare/APMA%20WISeR.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1YgB7Kz6zSM&amp;feature=youtu.be" TargetMode="External"/><Relationship Id="rId4" Type="http://schemas.openxmlformats.org/officeDocument/2006/relationships/numbering" Target="numbering.xml"/><Relationship Id="rId9" Type="http://schemas.openxmlformats.org/officeDocument/2006/relationships/hyperlink" Target="https://www.apma.org/practice-management/reimbursement-resources/cms-wiser-model-effective-jan-1-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43e32d17d47189711a31fd150942b947">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856ef8f38b25a5145222483b563608a9"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c52a5-d095-47b6-a123-888c99cde0c9}"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559C0-476E-4DD0-9D53-778B9F49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0BE9C-9720-4877-A762-5491C07E0AC3}">
  <ds:schemaRefs>
    <ds:schemaRef ds:uri="http://schemas.microsoft.com/office/2006/metadata/properties"/>
    <ds:schemaRef ds:uri="http://schemas.microsoft.com/office/infopath/2007/PartnerControls"/>
    <ds:schemaRef ds:uri="fcd50eeb-4b82-4317-be54-1fe3687ad23d"/>
    <ds:schemaRef ds:uri="21d4c215-7d80-40c8-95cb-1022683f4e5d"/>
  </ds:schemaRefs>
</ds:datastoreItem>
</file>

<file path=customXml/itemProps3.xml><?xml version="1.0" encoding="utf-8"?>
<ds:datastoreItem xmlns:ds="http://schemas.openxmlformats.org/officeDocument/2006/customXml" ds:itemID="{1763F422-6EF1-4749-9373-8193A0FF9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 Bhatnagar</dc:creator>
  <cp:keywords/>
  <dc:description/>
  <cp:lastModifiedBy>Luci Ridolfo</cp:lastModifiedBy>
  <cp:revision>4</cp:revision>
  <dcterms:created xsi:type="dcterms:W3CDTF">2025-12-15T19:44:00Z</dcterms:created>
  <dcterms:modified xsi:type="dcterms:W3CDTF">2025-12-16T16:41:00Z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MediaServiceImageTags">
    <vt:lpwstr/>
  </property>
</Properties>
</file>